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B52C93" w:rsidRPr="00B52C93" w:rsidTr="00B52C93">
        <w:trPr>
          <w:trHeight w:val="2494"/>
        </w:trPr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B52C93" w:rsidRPr="00B52C93" w:rsidRDefault="00B52C93" w:rsidP="00B52C9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B52C93" w:rsidRPr="00B52C93" w:rsidRDefault="00B52C93" w:rsidP="00B52C9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высшего профессионального образования</w:t>
            </w:r>
          </w:p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0"/>
                <w:w w:val="80"/>
                <w:sz w:val="36"/>
                <w:szCs w:val="36"/>
              </w:rPr>
            </w:pPr>
            <w:r w:rsidRPr="00B52C93">
              <w:rPr>
                <w:rFonts w:ascii="Times New Roman" w:eastAsia="Calibri" w:hAnsi="Times New Roman" w:cs="Times New Roman"/>
                <w:b/>
                <w:spacing w:val="60"/>
                <w:w w:val="80"/>
                <w:sz w:val="36"/>
                <w:szCs w:val="36"/>
              </w:rPr>
              <w:t>МЕТОДИЧЕСКИЕ</w:t>
            </w:r>
            <w:r w:rsidRPr="00B52C93">
              <w:rPr>
                <w:rFonts w:ascii="Times New Roman" w:eastAsia="Calibri" w:hAnsi="Times New Roman" w:cs="Times New Roman"/>
                <w:b/>
                <w:spacing w:val="60"/>
                <w:w w:val="80"/>
                <w:sz w:val="36"/>
                <w:szCs w:val="36"/>
              </w:rPr>
              <w:br/>
              <w:t>УКАЗАНИЯ</w:t>
            </w:r>
          </w:p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0"/>
                <w:sz w:val="60"/>
                <w:szCs w:val="60"/>
              </w:rPr>
            </w:pPr>
            <w:r w:rsidRPr="00B52C93">
              <w:rPr>
                <w:rFonts w:ascii="Times New Roman" w:eastAsia="Calibri" w:hAnsi="Times New Roman" w:cs="Times New Roman"/>
                <w:b/>
                <w:spacing w:val="60"/>
                <w:w w:val="80"/>
                <w:sz w:val="36"/>
                <w:szCs w:val="36"/>
              </w:rPr>
              <w:t>ПО ПРОВЕДЕНИЮ ПРАКТИЧЕСКИХ ЗАНЯТИЙ</w:t>
            </w:r>
          </w:p>
        </w:tc>
      </w:tr>
      <w:tr w:rsidR="00B52C93" w:rsidRPr="00B52C93" w:rsidTr="00B52C93"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z w:val="28"/>
                <w:szCs w:val="28"/>
              </w:rPr>
              <w:t>по дисциплине (модулю)</w:t>
            </w:r>
          </w:p>
        </w:tc>
      </w:tr>
      <w:tr w:rsidR="00B52C93" w:rsidRPr="00B52C93" w:rsidTr="00B52C93"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Б1.В.ДВ.1</w:t>
            </w:r>
            <w:r w:rsidR="00405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Pr="00B52C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«Мелиоративное почвоведение»</w:t>
            </w:r>
          </w:p>
        </w:tc>
      </w:tr>
      <w:tr w:rsidR="00B52C93" w:rsidRPr="00B52C93" w:rsidTr="00B52C93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B52C93" w:rsidRPr="00B52C93" w:rsidTr="0073613F">
              <w:trPr>
                <w:jc w:val="center"/>
              </w:trPr>
              <w:tc>
                <w:tcPr>
                  <w:tcW w:w="8029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8029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0"/>
                      <w:szCs w:val="20"/>
                    </w:rPr>
                  </w:pPr>
                </w:p>
              </w:tc>
            </w:tr>
          </w:tbl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C93" w:rsidRPr="00B52C93" w:rsidTr="00B52C93"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C93" w:rsidRPr="00B52C93" w:rsidTr="00B52C93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Код и направление </w:t>
                  </w:r>
                </w:p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06.06.01 – Биологические науки</w:t>
                  </w: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Наименование профиля / </w:t>
                  </w:r>
                  <w:r w:rsidRPr="00B52C93">
                    <w:rPr>
                      <w:rFonts w:ascii="Times New Roman" w:eastAsia="Calibri" w:hAnsi="Times New Roman" w:cs="Courier New"/>
                      <w:bCs/>
                      <w:color w:val="000000"/>
                      <w:sz w:val="28"/>
                      <w:szCs w:val="28"/>
                    </w:rPr>
                    <w:t>программы подготовки научно-педагогических кадров в аспирантуре/</w:t>
                  </w: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магистерской программы / специализация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Почвоведение</w:t>
                  </w: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Исследователь. Преподаватель-исследователь</w:t>
                  </w:r>
                </w:p>
              </w:tc>
            </w:tr>
            <w:tr w:rsidR="00B52C93" w:rsidRPr="00B52C93" w:rsidTr="0073613F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Агрохимии и                    почвоведения</w:t>
                  </w: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Почвоведения</w:t>
                  </w: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Слюсарев </w:t>
                  </w:r>
                </w:p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Валерий Никифорович</w:t>
                  </w: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C93" w:rsidRPr="00B52C93" w:rsidTr="00B52C93">
        <w:trPr>
          <w:trHeight w:val="66"/>
        </w:trPr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24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Краснодар 2015</w:t>
            </w:r>
          </w:p>
        </w:tc>
      </w:tr>
    </w:tbl>
    <w:p w:rsidR="00972E6E" w:rsidRDefault="00972E6E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2E6E" w:rsidRDefault="00972E6E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2E6E" w:rsidRDefault="00972E6E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Составители: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Слюсарев, В.И. Терпелец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Швец Т.В.</w:t>
      </w:r>
    </w:p>
    <w:p w:rsidR="00B52C93" w:rsidRPr="00B52C93" w:rsidRDefault="00B52C93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Методические указания по проведению  практических занятий по дисциплине «Мелиоративное почвоведение» 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аспирантов по направлению 06.06.01 «Биологические науки», профиль «Почвоведение» / сост.</w:t>
      </w:r>
      <w:r w:rsidRPr="00B52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В.Н. Слюсарев, В.И. Терпелец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Т.В. Швец</w:t>
      </w:r>
      <w:r w:rsidRPr="00B52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36F1">
        <w:rPr>
          <w:rFonts w:ascii="Times New Roman" w:eastAsia="Times New Roman" w:hAnsi="Times New Roman" w:cs="Times New Roman"/>
          <w:sz w:val="28"/>
          <w:szCs w:val="20"/>
          <w:lang w:eastAsia="ru-RU"/>
        </w:rPr>
        <w:t>–  Краснодар: КубГАУ, 2014. – 26</w:t>
      </w:r>
      <w:r w:rsidRPr="00B52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</w:t>
      </w:r>
    </w:p>
    <w:p w:rsidR="00B52C93" w:rsidRPr="00B52C93" w:rsidRDefault="00B52C93" w:rsidP="00B5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Default="00B52C93" w:rsidP="00B52C9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методические указания по проведению прак</w:t>
      </w:r>
      <w:r w:rsidR="000C7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дисциплине, направленной на подготовку к сдаче кандидатского экзамена по профилю «Почвоведение».</w:t>
      </w:r>
      <w:r w:rsidR="00C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A69" w:rsidRPr="00CC6A69" w:rsidRDefault="00CC6A69" w:rsidP="00B52C9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по проведению  практических занятий по дисциплине «Мелиоративное почвоведение»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предусматривают обязательное использование методических указаний для самостоятельной работы по данной дисциплине.</w:t>
      </w:r>
    </w:p>
    <w:p w:rsidR="00B52C93" w:rsidRPr="00B52C93" w:rsidRDefault="00B52C93" w:rsidP="00B52C9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предназначены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аспирантов по направлению 06.06.01 «Биологические науки», профиль «Почвоведение». </w:t>
      </w:r>
    </w:p>
    <w:p w:rsidR="00B52C93" w:rsidRPr="00B52C93" w:rsidRDefault="00B52C93" w:rsidP="00B52C9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одобрено методической комиссией факультетов агрохимии и почвоведения, защиты растений Кубанского госагроуниверситета, протокол № 3  от 24.11.2014 г.</w:t>
      </w: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                                                                 В.И. Терпелец</w:t>
      </w:r>
    </w:p>
    <w:p w:rsidR="00B52C93" w:rsidRPr="00B52C93" w:rsidRDefault="00B52C93" w:rsidP="00B5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6E" w:rsidRPr="00B52C93" w:rsidRDefault="00972E6E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Слюсарев В.Н., Терпелец В.И.,</w:t>
      </w:r>
      <w:r w:rsidR="006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Швец Т.В.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2014</w:t>
      </w: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ФГБОУ ВПО «Кубанский государственный</w:t>
      </w:r>
    </w:p>
    <w:p w:rsidR="00B52C93" w:rsidRPr="00B52C93" w:rsidRDefault="00B52C93" w:rsidP="00B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аграрный университет», 2014</w:t>
      </w:r>
    </w:p>
    <w:p w:rsidR="00B52C93" w:rsidRPr="00B52C93" w:rsidRDefault="00B52C93" w:rsidP="00B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Default="00B52C93"/>
    <w:p w:rsidR="00CC6A69" w:rsidRDefault="00CC6A69" w:rsidP="00736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69" w:rsidRDefault="00CC6A69" w:rsidP="00736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93" w:rsidRDefault="00B52C93" w:rsidP="00736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A3540" w:rsidRDefault="004A3540" w:rsidP="00736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3F" w:rsidRDefault="0073613F" w:rsidP="004A3540">
      <w:pPr>
        <w:spacing w:after="0" w:line="60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1.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ОПРЕДЕЛЕНИЕ ПОТРЕБНОСТИ ПОЧВ В ИЗВЕСТКОВАНИИ И ВЫЧИСЛЕНИЕ ДОЗ ИЗВЕСТИ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...................................................................</w:t>
      </w:r>
      <w:r w:rsidR="008436F1">
        <w:rPr>
          <w:rFonts w:ascii="Times New Roman" w:eastAsiaTheme="minorEastAsia" w:hAnsi="Times New Roman"/>
          <w:sz w:val="28"/>
          <w:szCs w:val="28"/>
          <w:lang w:eastAsia="ru-RU"/>
        </w:rPr>
        <w:t>...</w:t>
      </w:r>
      <w:r w:rsidR="004A3540">
        <w:rPr>
          <w:rFonts w:ascii="Times New Roman" w:eastAsiaTheme="minorEastAsia" w:hAnsi="Times New Roman"/>
          <w:sz w:val="28"/>
          <w:szCs w:val="28"/>
          <w:lang w:eastAsia="ru-RU"/>
        </w:rPr>
        <w:t xml:space="preserve">  4</w:t>
      </w:r>
    </w:p>
    <w:p w:rsidR="0073613F" w:rsidRPr="0073613F" w:rsidRDefault="0073613F" w:rsidP="004A3540">
      <w:pPr>
        <w:spacing w:after="0" w:line="60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2.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ОПРЕДЕЛЕНИЕ СТЕПЕНИ СОЛОНЦЕВАТОСТИ ПОЧВ </w:t>
      </w:r>
    </w:p>
    <w:p w:rsidR="0073613F" w:rsidRDefault="0073613F" w:rsidP="004A3540">
      <w:pPr>
        <w:spacing w:after="0" w:line="60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И РАСЧЕТ ДОЗ ГИПСА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.................................................................................</w:t>
      </w:r>
      <w:r w:rsidR="004A3540">
        <w:rPr>
          <w:rFonts w:ascii="Times New Roman" w:eastAsiaTheme="minorEastAsia" w:hAnsi="Times New Roman"/>
          <w:sz w:val="28"/>
          <w:szCs w:val="28"/>
          <w:lang w:eastAsia="ru-RU"/>
        </w:rPr>
        <w:t>...</w:t>
      </w:r>
      <w:r w:rsidR="008436F1">
        <w:rPr>
          <w:rFonts w:ascii="Times New Roman" w:eastAsiaTheme="minorEastAsia" w:hAnsi="Times New Roman"/>
          <w:sz w:val="28"/>
          <w:szCs w:val="28"/>
          <w:lang w:eastAsia="ru-RU"/>
        </w:rPr>
        <w:t>....</w:t>
      </w:r>
      <w:r w:rsidR="004A354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73613F" w:rsidRDefault="0073613F" w:rsidP="004A3540">
      <w:pPr>
        <w:spacing w:after="0" w:line="60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3. </w:t>
      </w:r>
      <w:r w:rsidRPr="007361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ПРОМЫВКА ЗАСОЛЕННЫХ ЗЕМЕЛЬ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..............................................</w:t>
      </w:r>
      <w:r w:rsidR="004A354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...</w:t>
      </w:r>
      <w:r w:rsidR="008436F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.....</w:t>
      </w:r>
      <w:r w:rsidR="004A354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73613F" w:rsidRP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4.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ОПРЕДЕЛЕНИЕ  ПРИГОДНОСТИ  МИНЕРАЛИЗОВАННОЙ</w:t>
      </w:r>
    </w:p>
    <w:p w:rsid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ВОДЫ ДЛЯ ОРОШЕНИЯ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.................................................</w:t>
      </w:r>
      <w:r w:rsidR="004A354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8</w:t>
      </w:r>
    </w:p>
    <w:p w:rsid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5.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ОПРЕДЕЛЕНИЕ ОРОСИТЕЛЬНЫХ И ПОЛИВНЫХ НОРМ</w:t>
      </w:r>
      <w:r w:rsidRPr="007361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СЕЛЬСКОХОЗЯЙСТВЕННЫХ КУЛЬТУР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....................................................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</w:t>
      </w:r>
      <w:r w:rsidR="004A354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11</w:t>
      </w:r>
    </w:p>
    <w:p w:rsid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6.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ДИАГНОСТИКА СРОКОВ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ПОЛИВА СЕЛЬСКОХОЗЯЙСТВЕННЫХ КУЛЬТУР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........................................................................................................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...13</w:t>
      </w:r>
    </w:p>
    <w:p w:rsid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7.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ОПРЕДЕЛЕНИЕ КАЧЕСТВА ОРОСИТЕЛЬНОЙ ВОДЫ</w:t>
      </w:r>
      <w:r w:rsidR="004A3540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8436F1">
        <w:rPr>
          <w:rFonts w:ascii="Times New Roman" w:eastAsia="Times New Roman" w:hAnsi="Times New Roman"/>
          <w:color w:val="000000"/>
          <w:sz w:val="28"/>
          <w:lang w:eastAsia="ru-RU"/>
        </w:rPr>
        <w:t>....................</w:t>
      </w:r>
    </w:p>
    <w:p w:rsidR="004A3540" w:rsidRDefault="004A3540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8.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ДИАГНОСТИКА СРОКОВ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ПОЛИВА СЕЛЬСКОХОЗЯЙСТВЕННЫХ КУЛЬТУР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........................................................................................................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...17</w:t>
      </w:r>
    </w:p>
    <w:p w:rsidR="004A3540" w:rsidRDefault="004A3540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9.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ПОЧВЕННО-АГРОЭКОЛОГ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ИЧЕСКОЕ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РАЙОНИРОВАНИЕ </w:t>
      </w:r>
    </w:p>
    <w:p w:rsidR="004A3540" w:rsidRPr="004A3540" w:rsidRDefault="004A3540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СЕЛЬСКОХОЗЯЙСТВЕННЫХ ЗЕМЕЛЬ РОССИИ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....................................</w:t>
      </w:r>
      <w:r w:rsidR="008436F1">
        <w:rPr>
          <w:rFonts w:ascii="Times New Roman" w:eastAsiaTheme="minorEastAsia" w:hAnsi="Times New Roman"/>
          <w:sz w:val="28"/>
          <w:szCs w:val="28"/>
          <w:lang w:eastAsia="ru-RU"/>
        </w:rPr>
        <w:t>...19</w:t>
      </w:r>
    </w:p>
    <w:p w:rsidR="0073613F" w:rsidRPr="0073613F" w:rsidRDefault="0073613F" w:rsidP="0073613F">
      <w:pPr>
        <w:spacing w:before="480" w:after="48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lastRenderedPageBreak/>
        <w:t xml:space="preserve">РАБОТА 1.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ОПРЕДЕЛЕНИЕ ПОТРЕБНОСТИ ПОЧВ В ИЗВЕСТКОВАНИИ И ВЫЧИСЛЕНИЕ ДОЗ ИЗВЕСТИ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Нуждаемость почвы в известковании определяют, учитывая следующие показатели: рН солевой вытяжки, степень насыщенности основаниями, гранулометрический состав, чувствительность возделываемых растений к кислотности.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В первом приближении потребность почв в известковании можно установить по рН солевой вытяжки (</w:t>
      </w:r>
      <w:r w:rsidRPr="0073613F">
        <w:rPr>
          <w:rFonts w:ascii="Times New Roman" w:eastAsiaTheme="minorEastAsia" w:hAnsi="Times New Roman"/>
          <w:sz w:val="24"/>
          <w:szCs w:val="24"/>
          <w:lang w:eastAsia="ru-RU"/>
        </w:rPr>
        <w:t>КС1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), руководствуясь следующими данными:</w:t>
      </w:r>
    </w:p>
    <w:p w:rsidR="0073613F" w:rsidRPr="0073613F" w:rsidRDefault="0073613F" w:rsidP="0073613F">
      <w:pPr>
        <w:widowControl w:val="0"/>
        <w:spacing w:before="240" w:after="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почва сильно нуждается в известковании, рН &lt; 4,5 ;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II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почва средне нуждается в известковании, рН 4,5 – 5,0 ;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III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почва слабо нуждается в известковании, рН 5,1 – 5,5 ;</w:t>
      </w:r>
    </w:p>
    <w:p w:rsidR="0073613F" w:rsidRPr="0073613F" w:rsidRDefault="0073613F" w:rsidP="0073613F">
      <w:pPr>
        <w:widowControl w:val="0"/>
        <w:spacing w:after="24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почва не нуждается в известковании, рН &gt; 5,5.</w:t>
      </w:r>
    </w:p>
    <w:p w:rsidR="0073613F" w:rsidRPr="0073613F" w:rsidRDefault="0073613F" w:rsidP="0073613F">
      <w:pPr>
        <w:widowControl w:val="0"/>
        <w:spacing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Для суждения о необходимости известкования минеральных и торфяных почв с учетом их рН, степени насыщенности основаниями и гранулометрического состава можно руководствоваться следующими нормативами:</w:t>
      </w:r>
    </w:p>
    <w:p w:rsidR="0073613F" w:rsidRPr="0073613F" w:rsidRDefault="0073613F" w:rsidP="0073613F">
      <w:pPr>
        <w:widowControl w:val="0"/>
        <w:spacing w:after="0" w:line="240" w:lineRule="auto"/>
        <w:ind w:left="1701" w:hanging="1701"/>
        <w:jc w:val="both"/>
        <w:rPr>
          <w:rFonts w:ascii="Times New Roman" w:eastAsiaTheme="minorEastAsia" w:hAnsi="Times New Roman"/>
          <w:spacing w:val="-14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pacing w:val="-14"/>
          <w:sz w:val="28"/>
          <w:szCs w:val="28"/>
          <w:lang w:eastAsia="ru-RU"/>
        </w:rPr>
        <w:t xml:space="preserve">Таблица    – </w:t>
      </w:r>
      <w:r w:rsidRPr="0073613F">
        <w:rPr>
          <w:rFonts w:ascii="Times New Roman" w:eastAsiaTheme="minorEastAsia" w:hAnsi="Times New Roman"/>
          <w:spacing w:val="-14"/>
          <w:sz w:val="28"/>
          <w:szCs w:val="28"/>
          <w:lang w:eastAsia="ru-RU"/>
        </w:rPr>
        <w:tab/>
        <w:t>Нуждаемость почвы в известковании в зависимости от ее свойств (М. Ф. Корнилов, 1965)</w:t>
      </w:r>
    </w:p>
    <w:tbl>
      <w:tblPr>
        <w:tblW w:w="9445" w:type="dxa"/>
        <w:jc w:val="center"/>
        <w:tblInd w:w="-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07"/>
        <w:gridCol w:w="771"/>
        <w:gridCol w:w="708"/>
        <w:gridCol w:w="993"/>
        <w:gridCol w:w="850"/>
        <w:gridCol w:w="851"/>
        <w:gridCol w:w="850"/>
        <w:gridCol w:w="851"/>
        <w:gridCol w:w="864"/>
      </w:tblGrid>
      <w:tr w:rsidR="0073613F" w:rsidRPr="0073613F" w:rsidTr="0073613F">
        <w:trPr>
          <w:cantSplit/>
          <w:jc w:val="center"/>
        </w:trPr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Почвы по гранулометрическому </w:t>
            </w:r>
          </w:p>
          <w:p w:rsidR="0073613F" w:rsidRPr="0073613F" w:rsidRDefault="0073613F" w:rsidP="0073613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ru-RU"/>
              </w:rPr>
              <w:t>составу</w:t>
            </w:r>
          </w:p>
        </w:tc>
        <w:tc>
          <w:tcPr>
            <w:tcW w:w="67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keepNext/>
              <w:keepLines/>
              <w:spacing w:after="100" w:afterAutospacing="1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Нуждаемость в известковании</w:t>
            </w:r>
          </w:p>
        </w:tc>
      </w:tr>
      <w:tr w:rsidR="0073613F" w:rsidRPr="0073613F" w:rsidTr="0073613F">
        <w:trPr>
          <w:cantSplit/>
          <w:trHeight w:val="346"/>
          <w:jc w:val="center"/>
        </w:trPr>
        <w:tc>
          <w:tcPr>
            <w:tcW w:w="2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keepNext/>
              <w:keepLines/>
              <w:spacing w:after="100" w:afterAutospacing="1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613F" w:rsidRPr="0073613F" w:rsidTr="0073613F">
        <w:trPr>
          <w:cantSplit/>
          <w:jc w:val="center"/>
        </w:trPr>
        <w:tc>
          <w:tcPr>
            <w:tcW w:w="2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V,%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V,%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V,%</w:t>
            </w:r>
          </w:p>
        </w:tc>
      </w:tr>
      <w:tr w:rsidR="0073613F" w:rsidRPr="0073613F" w:rsidTr="0073613F">
        <w:trPr>
          <w:trHeight w:val="512"/>
          <w:jc w:val="center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Тяжело- и среднесуглинистые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&lt; 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4,5–5,0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50–60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5,0–5,5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65–75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5,5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75</w:t>
            </w:r>
          </w:p>
        </w:tc>
      </w:tr>
      <w:tr w:rsidR="0073613F" w:rsidRPr="0073613F" w:rsidTr="0073613F">
        <w:trPr>
          <w:trHeight w:val="438"/>
          <w:jc w:val="center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Легкосуглинистые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&lt; 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4,5–5,0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40–60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5,0–5,5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60–70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5,5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70</w:t>
            </w:r>
          </w:p>
        </w:tc>
      </w:tr>
      <w:tr w:rsidR="0073613F" w:rsidRPr="0073613F" w:rsidTr="0073613F">
        <w:trPr>
          <w:jc w:val="center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Супесчаные и </w:t>
            </w:r>
          </w:p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песчаные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&lt; 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4,5–5,0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35–40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5,0–5,5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50–60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5,5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60</w:t>
            </w:r>
          </w:p>
        </w:tc>
      </w:tr>
      <w:tr w:rsidR="0073613F" w:rsidRPr="0073613F" w:rsidTr="0073613F">
        <w:trPr>
          <w:jc w:val="center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Торфяные и </w:t>
            </w:r>
          </w:p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торфяно-болотные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&lt; 3,5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3,5–4,2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35–55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4,2–4,8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55–60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4,8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65</w:t>
            </w:r>
          </w:p>
        </w:tc>
      </w:tr>
    </w:tbl>
    <w:p w:rsidR="0073613F" w:rsidRPr="0073613F" w:rsidRDefault="0073613F" w:rsidP="0073613F">
      <w:pPr>
        <w:widowControl w:val="0"/>
        <w:spacing w:before="240"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Доза извести, необходимая для оптимизации реакции среды устанавливается по величине гидролитической кислотности в т/га. Кроме этого необходимо знать мощность пахотного слоя и его плотность.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Пусть мощность пахотного слоя (Н) равна 20 см, его плотность (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) – 1,35 г/см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, гидролитическая кислотность (Н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) 4,0 мг-экв на 100 г почвы. Так как известь перемешивается со всем пахотным слоем, то необходимо знать сколько в нем содержится ионов водорода на площади 1 га. Сначала находят массу пахотного слоя для этой площади, которую вычисляют по формуле:     </w:t>
      </w:r>
      <w:r w:rsidRPr="0073613F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m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(т) = </w:t>
      </w:r>
      <w:r w:rsidRPr="0073613F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b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 </w:t>
      </w: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100.</w:t>
      </w:r>
    </w:p>
    <w:p w:rsidR="0073613F" w:rsidRPr="0073613F" w:rsidRDefault="0073613F" w:rsidP="0073613F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нашем случае вес пахотного слоя будет равен: </w:t>
      </w:r>
    </w:p>
    <w:p w:rsidR="0073613F" w:rsidRPr="0073613F" w:rsidRDefault="0073613F" w:rsidP="0073613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lastRenderedPageBreak/>
        <w:t>m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= 1,35 </w:t>
      </w: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20 </w:t>
      </w: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100 = 2700 т.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Необходимо определить количество содержащихся в нем ионов Н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+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. Поскольку в 100 г почвы содержание водорода 4,0 мг-экв или 4 мг, то в 1 кг почвы будут содержаться 40 мг или 0,04 г водорода, а во всем пахотном слое 1 га – 0,04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2700000 = 108000 г, или 108 кг обменного водорода.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На нейтрализацию 1 кг водорода требуется 50 кг извести, что вытекает из уравнения химической реакции:</w:t>
      </w:r>
      <w:r w:rsidRPr="0073613F">
        <w:rPr>
          <w:rFonts w:ascii="Times New Roman" w:eastAsiaTheme="minorEastAsia" w:hAnsi="Times New Roman"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1pt" o:ole="" fillcolor="window">
            <v:imagedata r:id="rId7" o:title=""/>
          </v:shape>
          <o:OLEObject Type="Embed" ProgID="Equation.3" ShapeID="_x0000_i1025" DrawAspect="Content" ObjectID="_1501319831" r:id="rId8"/>
        </w:objec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2 Н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+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+  СаСО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=  Са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2+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+  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  +  СО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Следовательно, доза извести составляет: 108 · 50 = 5400 кг, или 5,4 т/га.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Известковые материалы могут содержать инертные примеси и иметь повышенную влажность, что необходимо учитывать при установлении дозы извести.  Окончательная формула для расчета имеет следующий вид: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oMath/>
          <w:rFonts w:ascii="Cambria Math" w:eastAsiaTheme="minorEastAsia" w:hAnsi="Cambria Math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b/>
              <w:sz w:val="28"/>
              <w:szCs w:val="28"/>
              <w:lang w:eastAsia="ru-RU"/>
            </w:rPr>
            <m:t>Д=</m:t>
          </m:r>
          <m:f>
            <m:fPr>
              <m:ctrl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  <m:t>Н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  <m:t>г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  <m:t>v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×h×500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(100-W)×DB</m:t>
              </m:r>
            </m:den>
          </m:f>
        </m:oMath>
      </m:oMathPara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где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доза извести, т/га;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гидролитическая кислотность, мг–экв/100 г почвы;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плотность почвы, г/см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мощность слоя, см;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W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влажность мелиоранта, %;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DB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содержание действующего вещества в мелиоранте, %.</w:t>
      </w:r>
    </w:p>
    <w:p w:rsidR="0073613F" w:rsidRPr="0073613F" w:rsidRDefault="0073613F" w:rsidP="0073613F"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  <w:lang w:eastAsia="ru-RU"/>
        </w:rPr>
      </w:pPr>
    </w:p>
    <w:p w:rsidR="0073613F" w:rsidRPr="0073613F" w:rsidRDefault="0073613F" w:rsidP="0073613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Задание для самостоятельной работы №1:</w:t>
      </w:r>
    </w:p>
    <w:p w:rsidR="0073613F" w:rsidRPr="0073613F" w:rsidRDefault="0073613F" w:rsidP="0073613F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данным 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приложения 12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необходимо:</w:t>
      </w:r>
    </w:p>
    <w:p w:rsidR="0073613F" w:rsidRPr="0073613F" w:rsidRDefault="0073613F" w:rsidP="0073613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Дать агрономическую оценку физико-химическим свойствам почвы.</w:t>
      </w:r>
    </w:p>
    <w:p w:rsidR="0073613F" w:rsidRPr="0073613F" w:rsidRDefault="0073613F" w:rsidP="0073613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Определить потребность почвы в химической мелиорации и если необходимо рассчитать дозу мелиоранта.</w:t>
      </w:r>
    </w:p>
    <w:p w:rsidR="0073613F" w:rsidRPr="0073613F" w:rsidRDefault="0073613F" w:rsidP="0073613F">
      <w:pPr>
        <w:spacing w:before="480"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РАБОТА 2.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ОПРЕДЕЛЕНИЕ СТЕПЕНИ СОЛОНЦЕВАТОСТИ ПОЧВ </w:t>
      </w:r>
    </w:p>
    <w:p w:rsidR="0073613F" w:rsidRPr="0073613F" w:rsidRDefault="0073613F" w:rsidP="0073613F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И РАСЧЕТ ДОЗ ГИПСА</w:t>
      </w:r>
    </w:p>
    <w:p w:rsidR="0073613F" w:rsidRPr="0073613F" w:rsidRDefault="0073613F" w:rsidP="0073613F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3613F" w:rsidRPr="0073613F" w:rsidRDefault="0073613F" w:rsidP="0073613F">
      <w:pPr>
        <w:spacing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Почвы насыщенные основаниями могут содержать избыточное количество обменного натрия, отрицательно влияющего на их плодородие. Степень солонцеватости почв устанавливается по формуле: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oMath/>
          <w:rFonts w:ascii="Cambria Math" w:eastAsiaTheme="minorEastAsia" w:hAnsi="Cambria Math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b/>
              <w:sz w:val="28"/>
              <w:szCs w:val="28"/>
              <w:lang w:eastAsia="ru-RU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Na×100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E</m:t>
              </m:r>
            </m:den>
          </m:f>
        </m:oMath>
      </m:oMathPara>
    </w:p>
    <w:p w:rsidR="0073613F" w:rsidRPr="0073613F" w:rsidRDefault="0073613F" w:rsidP="0073613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73613F" w:rsidRPr="0073613F" w:rsidRDefault="0073613F" w:rsidP="0073613F">
      <w:p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А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степень солонцеватости, % от емкости обмена; </w:t>
      </w:r>
    </w:p>
    <w:p w:rsidR="0073613F" w:rsidRPr="0073613F" w:rsidRDefault="0073613F" w:rsidP="0073613F">
      <w:p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Na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содержание обменного натрия, мг–экв на 100 г почвы; </w:t>
      </w:r>
    </w:p>
    <w:p w:rsidR="0073613F" w:rsidRPr="0073613F" w:rsidRDefault="0073613F" w:rsidP="0073613F">
      <w:p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Е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емкость обмена, мг–экв на 100 г почвы.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По степени солонцеватости различают: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несолонцеватые почвы, содержащие менее 3 % поглощенного натрия от емкости катионного обмена;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слабосолонцеватые – 3–5 %;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среднесолонцеватые – 5–10 %;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сильносолонцеватые – 10–15 %.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Солонцы по содержанию обменного натрия в горизонте В</w:t>
      </w:r>
      <w:r w:rsidRPr="0073613F">
        <w:rPr>
          <w:rFonts w:ascii="Times New Roman" w:eastAsiaTheme="minorEastAsia" w:hAnsi="Times New Roman"/>
          <w:b/>
          <w:sz w:val="28"/>
          <w:szCs w:val="28"/>
          <w:vertAlign w:val="subscript"/>
          <w:lang w:eastAsia="ru-RU"/>
        </w:rPr>
        <w:t>1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: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малонатриевые – 10–20 %;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средненатриевые – 20–40 %;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многонатриевые – &gt; 40 %.</w:t>
      </w:r>
    </w:p>
    <w:p w:rsidR="0073613F" w:rsidRPr="0073613F" w:rsidRDefault="0073613F" w:rsidP="0073613F">
      <w:pPr>
        <w:spacing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Пример расчетов.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При анализе каштановой почвы получены следующие данные: содержание обменного натрия в пахотном слое мощностью (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) 25 см и плотностью (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) 1,39 г/см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составило 2,8 мг–экв на 100 г почвы, емкость обмена  – 20 мг–экв на 100 г почвы.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Степень солонцеватости равна: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oMath/>
          <w:rFonts w:ascii="Cambria Math" w:eastAsiaTheme="minorEastAsia" w:hAnsi="Cambria Math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b/>
              <w:sz w:val="28"/>
              <w:szCs w:val="28"/>
              <w:lang w:eastAsia="ru-RU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2,8×100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20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  <w:b/>
              <w:sz w:val="28"/>
              <w:szCs w:val="28"/>
              <w:lang w:eastAsia="ru-RU"/>
            </w:rPr>
            <m:t>=14%</m:t>
          </m:r>
        </m:oMath>
      </m:oMathPara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Почва относится к сильносолонцеватой и нуждается в химической мелиорации.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Для улучшения свойств солонцов и солонцеватых почв в качестве химического мелиоранта чаще всего используется гипс (Са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SO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.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2Н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О). Дозу гипса находят по формуле: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szCs w:val="28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eastAsia="ru-RU"/>
            </w:rPr>
            <m:t>Д=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0,086×(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eastAsia="ru-RU"/>
                </w:rPr>
                <m:t>Na-0.05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eastAsia="ru-RU"/>
                </w:rPr>
                <m:t>E)×h×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v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eastAsia="ru-RU"/>
                </w:rPr>
                <m:t>×100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DB</m:t>
              </m:r>
            </m:den>
          </m:f>
        </m:oMath>
      </m:oMathPara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где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Д   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доза гипса, т/га;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0,086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значение 1 мг-экв гипса,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Na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содержание обменного натрия, мг-экв на 100 г почвы;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Е   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емкость обмена, мг–экв на 100 г почвы;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0,05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количество обменного натрия (в % от емкости обмена) не оказывающее отрицательного влияния на свойства почвы и оставляемое в ППК;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мощность пахотного слоя, см;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плотность почвы, г/см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DB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содержание 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CaSO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.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2Н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 в мелиоранте, %.</w:t>
      </w:r>
    </w:p>
    <w:p w:rsidR="0073613F" w:rsidRPr="0073613F" w:rsidRDefault="0073613F" w:rsidP="0073613F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В нашем случае при содержании гипса в мелиоранте 75 % его доза составит:</w:t>
      </w:r>
    </w:p>
    <w:p w:rsidR="0073613F" w:rsidRPr="0073613F" w:rsidRDefault="0073613F" w:rsidP="0073613F">
      <w:pPr>
        <w:spacing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position w:val="-24"/>
          <w:sz w:val="28"/>
          <w:szCs w:val="28"/>
          <w:lang w:eastAsia="ru-RU"/>
        </w:rPr>
        <w:object w:dxaOrig="4040" w:dyaOrig="620">
          <v:shape id="_x0000_i1026" type="#_x0000_t75" style="width:201.95pt;height:31.75pt" o:ole="" fillcolor="window">
            <v:imagedata r:id="rId9" o:title=""/>
          </v:shape>
          <o:OLEObject Type="Embed" ProgID="Equation.3" ShapeID="_x0000_i1026" DrawAspect="Content" ObjectID="_1501319832" r:id="rId10"/>
        </w:objec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= 7,2 т/га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Задание для самостоятельной работы №2:</w:t>
      </w:r>
    </w:p>
    <w:p w:rsidR="0073613F" w:rsidRPr="0073613F" w:rsidRDefault="0073613F" w:rsidP="0073613F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данным 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приложения 13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необходимо:</w:t>
      </w:r>
    </w:p>
    <w:p w:rsidR="0073613F" w:rsidRPr="0073613F" w:rsidRDefault="0073613F" w:rsidP="0073613F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709" w:hanging="42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Дать агрономическую оценку физико-химическим свойствам почвы</w:t>
      </w:r>
    </w:p>
    <w:p w:rsidR="0073613F" w:rsidRPr="0073613F" w:rsidRDefault="0073613F" w:rsidP="0073613F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709" w:hanging="42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Определить потребность почвы в химической мелиорации и если необходимо рассчитать дозу мелиоранта.</w:t>
      </w:r>
    </w:p>
    <w:p w:rsidR="0073613F" w:rsidRDefault="0073613F" w:rsidP="0073613F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lastRenderedPageBreak/>
        <w:t>РАБОТА</w:t>
      </w:r>
      <w:r w:rsidRPr="007361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3. ПРОМЫВКА ЗАСОЛЕННЫХ ЗЕМЕЛЬ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Промывку земель проводят путем подачи воды в почву в объеме, позволяющем переместить солевые растворы за пределы активного корнеобитае-мого слоя, который в зависимости от биологических особенностей сельскохозяйственных  культур составляет 0,6 – 1,5 м. 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Промывки по организационно-хозяйственным особенностям проведения работ делятся на капитальные и эксплуатационные. Их проводят на фоне горизонтального, вертикального или комбинированного дренажа. В некоторых случаях допуска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ется «осаживание» солей вглубь, в свободную емкость при автоморфном режиме почвогрунтов.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Промывки проводят по мелким чекам отдельными тактами без сброса промывной воды, по мелким чекам с постоянным затоплением, перепус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ком воды из чека в чек и частичным поверхностным сбросом, по крупным чекам отдельными тактами.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Промывки по мелким чекам или цепочкам чеков — один из самых распространенных способов на слабопроницаемых почвах при устройстве временного дренажа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10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Для затопления участка прокладывают поперечные водоудерживающие валики высотой 25 – 30 см. Разность напоров воды при затоплении не должна превышать 5 см. Вода подается из оросителя из чека в чек по цепочке длиной 200 – 300 м.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Размеры чеков определяются расстояниями между временными дренами (20 – 50 м), которые выполняют в виде открытых каналов глубиной 0,8 – 1 м. Временные дрены соединяются временным коллектором глубиной 1 – 1,2 м.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Поперечные сечения элементов промывной сети приведены на рисунке 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приложения 10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а расходы и глубина воды в канале в зависимости от уклонов – в 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приложении 11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мелиорации земель почвы, требующие продолжительности промывок, более 90 – 100 суток, можно одновременно использовать для выращивания затопляемого риса. Основные требования агротехники, обеспечивающие удовлетворительный урожай риса, выращиваемого при промывке засоленных земель, следующие: тщательная планировка поверхности участка, регулиро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вание беспрерывного уровня затопления от посевов до выхода в трубку не более 5 см и после 10 – 15 см, соблюдение оптимальных сроков посевов риса. Для предотвращения разрушения дренажно-коллекторной сети сброс оросительной воды в нее не допускается. При неизбежности сброса некоторого объема воды необходимо выделять часть площади в нижней части участка.</w:t>
      </w:r>
    </w:p>
    <w:p w:rsidR="0073613F" w:rsidRPr="0073613F" w:rsidRDefault="0073613F" w:rsidP="00736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Наиболее эффективным приемом является промывка по мелким чекам отдельными тактами без сброса промывной воды, полосовая промывка от центра междренья к дренам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10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Начинают ее с затопления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центральной полосы, на которую подают всю промывную норму, на средние полосы – 60 %, а на придренные – 50 % расчетной нормы. Очередную полосу затопляют после того, как в предыдущую подано заданное количество промывной воды.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Промывки по крупным чекам применяют на почвогрунтах с коэффициентами фильтрации более 1 м/сут при малых уклонах поверхности. Водоудерживающие валы высотой 60 – 80 см отсыпают бульдозером, сообразуясь с горизонталями местности. Площадь чеков равна 1 – 3 га. Валы, прилегающие к дренам, располагают на расстоянии 40 – 50 м от них для предохранения их от разрушения. Допустимый перепад напоров при затоплении в чеке  10 – 15 см.</w:t>
      </w:r>
    </w:p>
    <w:p w:rsidR="0073613F" w:rsidRPr="0073613F" w:rsidRDefault="0073613F" w:rsidP="0073613F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Такое расположение чеков внутри междренья дает возможность применить полосовой метод затопления, что повышает эффективность промывки, так как скорость фильтрации воды в придренных зонах участка значительно больше, чем в средней части междренья. В зависимости от нормы промывки и глубины наполнения чеков их затопление повторяют несколько раз. Благодаря значительному слою воды этот способ можно применять в зимнее время.</w:t>
      </w:r>
    </w:p>
    <w:p w:rsidR="0073613F" w:rsidRPr="0073613F" w:rsidRDefault="0073613F" w:rsidP="0073613F">
      <w:pPr>
        <w:tabs>
          <w:tab w:val="left" w:pos="1110"/>
        </w:tabs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РАБОТА 4.   ОПРЕДЕЛЕНИЕ  ПРИГОДНОСТИ  МИНЕРАЛИЗОВАННОЙ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ВОДЫ ДЛЯ ОРОШЕНИЯ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Засолением почвы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называют  избыточное скопление в корнеобитаемом слое электролитных (растворенных или поглощенных) солей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MgCl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NaCO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val="en-US" w:eastAsia="ru-RU"/>
        </w:rPr>
        <w:t>s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NaHC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NaCl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Na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MgS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которые угнетают или губят сельскохозяй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ственные растения, снижают урожай и его качество. Различают два вида засоления: природное (первичное), зависящее от естественных факторов, и вторичное, связанное с деятельностью человека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3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Основные причины вторичного засоления почв следующие: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подъем уровня минерализованных грунтовых вод и интенсивное их испарение;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перераспределение запасов легкорастворимых солей в почвогрунтах зоны аэрации без общего подъема грунтовых вод при периодическом увлажнении – иссушении почв;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накопление солей в корнеобитаемом слое почвы при исполь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зовании  на  орошение  минерализованной  воды.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Вторичное засоление вызывает снижение или утрату плодородия оро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шаемых почв в результате накопления большого количества легкорастворимых и вредных для растений солей в корнеобитаемом слое почвы.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Засоленные земли делятся на две группы – нейтрального засоления, содержащие в основном хлориды и сульфаты натрия, и щелочного засоления, содержащие главным образом карбонаты и гидрокарбонаты натрия. Нейтральное засоление распространено, как правило, в пустынях и полупустынях, щелочное  – в степной и лесостепной зонах.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Засоленные земли подразделяются по типу и степени засоления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4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и по глубине залегания солевого горизонта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5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Тип засоления почв можно определить с помощью номограммы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6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солеустойчивости сельскохозяйственные растения подразделяются на слабо-, среднесолеустойчивые и солеустойчивые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9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Степень засоления почв характеризуется также показателем токсичности. Предельное значение его, выше которого начинается угнетение роста и развития сельскохозяйственных культур, является порогом токсичности. Наибольшей токсичностью для растений в почвах обладают бикарбонаты щелочей, затем идут хлориды и нитраты щелочей; наименьшей токсичностью отличаются сульфаты. Смеси солей всегда менее токсичны, чем их более чистые скопления. 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Степень токсичности основных 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2091"/>
        <w:gridCol w:w="2091"/>
        <w:gridCol w:w="1950"/>
      </w:tblGrid>
      <w:tr w:rsidR="0073613F" w:rsidRPr="0073613F" w:rsidTr="0073613F">
        <w:tc>
          <w:tcPr>
            <w:tcW w:w="1665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NaCl</w:t>
            </w:r>
          </w:p>
        </w:tc>
        <w:tc>
          <w:tcPr>
            <w:tcW w:w="2091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Na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SO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Na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Na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</w:tr>
      <w:tr w:rsidR="0073613F" w:rsidRPr="0073613F" w:rsidTr="0073613F">
        <w:tc>
          <w:tcPr>
            <w:tcW w:w="1665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MgCl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MgSO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Mg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Mg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(НС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)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73613F" w:rsidRPr="0073613F" w:rsidTr="0073613F"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Са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Cl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CaSO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2091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СаС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50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Са(НСО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)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73613F" w:rsidRPr="0073613F" w:rsidTr="0073613F"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3613F" w:rsidRPr="0073613F" w:rsidRDefault="0073613F" w:rsidP="0073613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Соли, расположенные выше черты, вредны для растений. Наиболее токсичны из них сода, хлористый и сернокислый натрий.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Прогнозирование вторичного засоления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Во многих странах мира, особенно расположенных в аридной зоне, запасы пресной воды являются лимитирующим фактором в развитии орошаемого земледелия. Источниками воды для орошения могут быть реки в их естественном и зарегулированном состоянии, лиманы, пруды и водохранилища, подземные различного рода сбросные воды, в некоторых случаях и морская вода.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При решении вопроса о пригодности воды для орошения следует учитывать следующие факторы: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1.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тип почвы и условия естественной и искусственной дренированности оросительной системы;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2.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солеустойчивость возделываемой культуры;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3.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оросительная норма и техника полива;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4.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климатические факторы;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5.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содержание в воде токсичных солей.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Физиологический предел концентрации солей в почвенном растворе большинства культур при хлоридно-сульфатном типе засоления составляет 10 – 12 г/л. Поэтому, не допуская накопления в почве солей выше этого предела, в принципе для орошения можно использовать воду с содержанием солей до 1,5 – 3,0 и даже 5,0 г/л. На легких по гранулометрическому составу почвах допускается полив водой с более высокой минерализацией.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Если при орошении незасоленных почв пресными водами поливы проводят по дефициту влаги до уровня НВ, то при орошении минерализованными водами поливы осуществляют более высокими нормам с целью вымывания солей в дренажные системы. Помимо количества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растворенных солей обязательно необходимо учитывать и их качественный состав.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Существует много различных классификаций оросительной воды по степени пригодности ее для орошения. Некоторые из них представлены в </w:t>
      </w: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приложениях 1, 2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Расчет ирригационных коэффициентов (по Стеблеру)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Часто этот метод используется для предварительных оценок. Преимущество его состоит </w:t>
      </w:r>
      <w:r w:rsidRPr="0073613F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в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простоте расчетов, а недостатком является отсутствие возможности прогнозирования, с достаточной точностью, засоления почвы при орошении культур минерализованной водой.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Расчет ирригационных коэффициентов (У)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ведется по величине концентрации 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Y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) ионов в воде по следующим формулам: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1. если иона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Na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+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&lt;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Cl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присутствуют только хлориды, то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/>
              <w:color w:val="000000"/>
              <w:sz w:val="28"/>
              <w:lang w:eastAsia="ru-RU"/>
            </w:rPr>
            <m:t>У=</m:t>
          </m:r>
          <m:f>
            <m:fPr>
              <m:ctrlPr>
                <w:rPr>
                  <w:rFonts w:ascii="Cambria Math" w:eastAsia="Times New Roman" w:hAnsi="Cambria Math"/>
                  <w:b/>
                  <w:color w:val="000000"/>
                  <w:sz w:val="28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/>
                  <w:color w:val="000000"/>
                  <w:sz w:val="28"/>
                  <w:lang w:eastAsia="ru-RU"/>
                </w:rPr>
                <m:t>288</m:t>
              </m:r>
              <m:ctrlPr>
                <w:rPr>
                  <w:rFonts w:ascii="Cambria Math" w:eastAsia="Times New Roman" w:hAnsi="Cambria Math"/>
                  <w:b/>
                  <w:sz w:val="28"/>
                  <w:szCs w:val="24"/>
                  <w:lang w:eastAsia="ru-RU"/>
                </w:rPr>
              </m:ctrlPr>
            </m:num>
            <m:den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4"/>
                  <w:lang w:eastAsia="ru-RU"/>
                </w:rPr>
                <m:t xml:space="preserve">5Y 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Cl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-</m:t>
                  </m:r>
                </m:sup>
              </m:sSup>
              <m:ctrlPr>
                <w:rPr>
                  <w:rFonts w:ascii="Cambria Math" w:eastAsia="Times New Roman" w:hAnsi="Cambria Math"/>
                  <w:b/>
                  <w:sz w:val="28"/>
                  <w:szCs w:val="24"/>
                  <w:lang w:eastAsia="ru-RU"/>
                </w:rPr>
              </m:ctrlP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2. если иона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Na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+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&gt;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Cl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и присутствуют сульфаты, но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Na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+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&lt;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53"/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Cl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+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SO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4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, то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/>
              <w:color w:val="000000"/>
              <w:sz w:val="28"/>
              <w:lang w:eastAsia="ru-RU"/>
            </w:rPr>
            <m:t>У=</m:t>
          </m:r>
          <m:f>
            <m:fPr>
              <m:ctrlPr>
                <w:rPr>
                  <w:rFonts w:ascii="Cambria Math" w:eastAsia="Times New Roman" w:hAnsi="Cambria Math"/>
                  <w:b/>
                  <w:color w:val="000000"/>
                  <w:sz w:val="28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/>
                  <w:color w:val="000000"/>
                  <w:sz w:val="28"/>
                  <w:lang w:eastAsia="ru-RU"/>
                </w:rPr>
                <m:t>288</m:t>
              </m:r>
              <m:ctrlPr>
                <w:rPr>
                  <w:rFonts w:ascii="Cambria Math" w:eastAsia="Times New Roman" w:hAnsi="Cambria Math"/>
                  <w:b/>
                  <w:sz w:val="28"/>
                  <w:szCs w:val="24"/>
                  <w:lang w:eastAsia="ru-RU"/>
                </w:rPr>
              </m:ctrlPr>
            </m:num>
            <m:den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4"/>
                  <w:lang w:val="en-US" w:eastAsia="ru-RU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val="en-US" w:eastAsia="ru-RU"/>
                    </w:rPr>
                    <m:t>Na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+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4"/>
                  <w:lang w:eastAsia="ru-RU"/>
                </w:rPr>
                <m:t xml:space="preserve">+4Y 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Cl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-</m:t>
                  </m:r>
                </m:sup>
              </m:sSup>
              <m:ctrlPr>
                <w:rPr>
                  <w:rFonts w:ascii="Cambria Math" w:eastAsia="Times New Roman" w:hAnsi="Cambria Math"/>
                  <w:b/>
                  <w:sz w:val="28"/>
                  <w:szCs w:val="24"/>
                  <w:lang w:eastAsia="ru-RU"/>
                </w:rPr>
              </m:ctrlP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3. если иона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Na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+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&gt;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Cl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+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SO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4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и присутствуют хлориды, сульфаты, карбонаты и бикарбонаты натрия, </w:t>
      </w:r>
      <w:r w:rsidRPr="0073613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то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8"/>
              <w:lang w:eastAsia="ru-RU"/>
            </w:rPr>
            <m:t>У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8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lang w:eastAsia="ru-RU"/>
                </w:rPr>
                <m:t>288</m:t>
              </m:r>
              <m:ctrlPr>
                <w:rPr>
                  <w:rFonts w:ascii="Cambria Math" w:eastAsia="Times New Roman" w:hAnsi="Cambria Math" w:cs="Times New Roman"/>
                  <w:b/>
                  <w:sz w:val="28"/>
                  <w:szCs w:val="24"/>
                  <w:lang w:eastAsia="ru-RU"/>
                </w:rPr>
              </m:ctrlP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10Y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Na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val="en-US" w:eastAsia="ru-RU"/>
                    </w:rPr>
                    <m:t>+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-5Y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Cl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eastAsia="ru-RU"/>
                    </w:rPr>
                    <m:t>-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-9Y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SO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4</m:t>
                  </m:r>
                </m:sub>
              </m:sSub>
              <m:ctrlPr>
                <w:rPr>
                  <w:rFonts w:ascii="Cambria Math" w:eastAsia="Times New Roman" w:hAnsi="Cambria Math" w:cs="Times New Roman"/>
                  <w:b/>
                  <w:sz w:val="28"/>
                  <w:szCs w:val="24"/>
                  <w:lang w:eastAsia="ru-RU"/>
                </w:rPr>
              </m:ctrlP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Пригодность воды для орошения в этом случае может быть оценена следующим образом:</w:t>
      </w:r>
    </w:p>
    <w:tbl>
      <w:tblPr>
        <w:tblStyle w:val="a9"/>
        <w:tblW w:w="0" w:type="auto"/>
        <w:tblLook w:val="04A0"/>
      </w:tblPr>
      <w:tblGrid>
        <w:gridCol w:w="2518"/>
        <w:gridCol w:w="7053"/>
      </w:tblGrid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 xml:space="preserve">Ирригационный 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>коэффициент (У)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>Пригодность воды для орошения</w:t>
            </w:r>
          </w:p>
        </w:tc>
      </w:tr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более 18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неограниченно пригодна для орошения всех культур</w:t>
            </w:r>
          </w:p>
        </w:tc>
      </w:tr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17,9 – 6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пригодна для орошения большинства культур в зависимости от почвенно-климатических условий</w:t>
            </w:r>
          </w:p>
        </w:tc>
      </w:tr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5,9 – 1,2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 xml:space="preserve">ограниченно пригодна для орошения солеустойчивых культур при условии хорошего искусственного дренажа, проведении промывных поливов и мелиоративных мероприятий (например, внесении эмульсии гипса в воду) </w:t>
            </w:r>
          </w:p>
        </w:tc>
      </w:tr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менее 1,2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вода непригодна для орошения</w:t>
            </w: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Задание для самостоятельной работы №3: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1. Для выполнения данной работы по результатам химического анализа воды (индивидуальное задание выдается преподавателем) необходимо дать оценку пригодности ее для орошения с учетом солеустойчивости культуры и почвенно-климатических условий.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lastRenderedPageBreak/>
        <w:t xml:space="preserve">2.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Необходимо также определить сумму катионов и анионов, затем по периодической таблице Менделеева (</w:t>
      </w: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приложение 14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), сделать пересчет из мг-экв/л на единицу измерения г/л.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Таблица – Результаты определений солевого состава оросительной воды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47"/>
        <w:gridCol w:w="747"/>
        <w:gridCol w:w="748"/>
        <w:gridCol w:w="747"/>
        <w:gridCol w:w="748"/>
        <w:gridCol w:w="799"/>
        <w:gridCol w:w="696"/>
        <w:gridCol w:w="1069"/>
        <w:gridCol w:w="1070"/>
        <w:gridCol w:w="993"/>
        <w:gridCol w:w="532"/>
      </w:tblGrid>
      <w:tr w:rsidR="0073613F" w:rsidRPr="0073613F" w:rsidTr="0073613F">
        <w:tc>
          <w:tcPr>
            <w:tcW w:w="709" w:type="dxa"/>
            <w:vMerge w:val="restart"/>
            <w:textDirection w:val="btLr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Вариант</w:t>
            </w:r>
          </w:p>
        </w:tc>
        <w:tc>
          <w:tcPr>
            <w:tcW w:w="5232" w:type="dxa"/>
            <w:gridSpan w:val="7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Содержание ионов, мг-экв/л</w:t>
            </w:r>
          </w:p>
        </w:tc>
        <w:tc>
          <w:tcPr>
            <w:tcW w:w="2139" w:type="dxa"/>
            <w:gridSpan w:val="2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Сумма, мг-экв/л</w:t>
            </w:r>
          </w:p>
        </w:tc>
        <w:tc>
          <w:tcPr>
            <w:tcW w:w="1525" w:type="dxa"/>
            <w:gridSpan w:val="2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Сумма солей</w:t>
            </w:r>
          </w:p>
        </w:tc>
      </w:tr>
      <w:tr w:rsidR="0073613F" w:rsidRPr="0073613F" w:rsidTr="0073613F">
        <w:trPr>
          <w:trHeight w:val="998"/>
        </w:trPr>
        <w:tc>
          <w:tcPr>
            <w:tcW w:w="709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Ca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2+</w:t>
            </w:r>
          </w:p>
        </w:tc>
        <w:tc>
          <w:tcPr>
            <w:tcW w:w="74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Mg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2+</w:t>
            </w:r>
          </w:p>
        </w:tc>
        <w:tc>
          <w:tcPr>
            <w:tcW w:w="74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K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+</w:t>
            </w:r>
          </w:p>
        </w:tc>
        <w:tc>
          <w:tcPr>
            <w:tcW w:w="74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Na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+</w:t>
            </w:r>
          </w:p>
        </w:tc>
        <w:tc>
          <w:tcPr>
            <w:tcW w:w="74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SO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bscript"/>
                <w:lang w:val="en-US" w:eastAsia="ru-RU"/>
              </w:rPr>
              <w:t>4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2–</w:t>
            </w:r>
          </w:p>
        </w:tc>
        <w:tc>
          <w:tcPr>
            <w:tcW w:w="79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159" w:right="-1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HCO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bscript"/>
                <w:lang w:val="en-US" w:eastAsia="ru-RU"/>
              </w:rPr>
              <w:t>3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–</w:t>
            </w:r>
          </w:p>
        </w:tc>
        <w:tc>
          <w:tcPr>
            <w:tcW w:w="696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Cl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0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катионов</w:t>
            </w:r>
          </w:p>
        </w:tc>
        <w:tc>
          <w:tcPr>
            <w:tcW w:w="10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анионов</w:t>
            </w:r>
          </w:p>
        </w:tc>
        <w:tc>
          <w:tcPr>
            <w:tcW w:w="99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мг-экв/л</w:t>
            </w:r>
          </w:p>
        </w:tc>
        <w:tc>
          <w:tcPr>
            <w:tcW w:w="53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г/л</w:t>
            </w:r>
          </w:p>
        </w:tc>
      </w:tr>
      <w:tr w:rsidR="0073613F" w:rsidRPr="0073613F" w:rsidTr="0073613F">
        <w:tc>
          <w:tcPr>
            <w:tcW w:w="70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6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32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70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6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32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70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6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32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Выводы: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48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РАБОТА 5</w:t>
      </w:r>
      <w:r w:rsidRPr="0073613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ОПРЕДЕЛЕНИЕ ОРОСИТЕЛЬНЫХ И ПОЛИВНЫХ НОРМ</w:t>
      </w:r>
      <w:r w:rsidRPr="007361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СЕЛЬСКОХОЗЯЙСТВЕННЫХ КУЛЬТУР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 xml:space="preserve">Режим орошения сельскохозяйственных культур –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это размер и очередность подачи поливной воды, т.е. сроки, нормы и количество поливов.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Правильный режим орошения обеспечивает максимальную урожайность сельскохозяйственных культур при в совокупности с рациональным внесением воды, способствует созданию в почве оптимального водно-воздушного и питательного режимов, не допуская при этом засоления и заболачивания.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Оросительной нормой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называется суммарное количество воды, поданное на поле под определенную культуру за весь период вегетации.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Для расчетов оросительной нормы часто используется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уравнение водного баланса (орошаемого поля)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, предложенное А.Н. Костяковым, которое для корнеобитаемого слоя почвы имеет вид: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m:oMath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М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10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LP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/>
                <w:sz w:val="28"/>
                <w:szCs w:val="24"/>
                <w:lang w:val="en-US"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H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Г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Т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И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/>
                <w:sz w:val="28"/>
                <w:szCs w:val="24"/>
                <w:lang w:val="en-US"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K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Ф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S</m:t>
        </m:r>
      </m:oMath>
      <w:r w:rsidRPr="007361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где: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М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оросительная норма нетто,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L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коэффициент использования осадков вегетационного периода;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сумма осадков за период вегетации растений, мм; </w:t>
      </w:r>
    </w:p>
    <w:p w:rsidR="0073613F" w:rsidRPr="0073613F" w:rsidRDefault="00D93A56" w:rsidP="0073613F">
      <w:pPr>
        <w:shd w:val="clear" w:color="auto" w:fill="FFFFFF"/>
        <w:autoSpaceDE w:val="0"/>
        <w:autoSpaceDN w:val="0"/>
        <w:adjustRightInd w:val="0"/>
        <w:spacing w:after="0"/>
        <w:ind w:left="1418" w:hanging="6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H</m:t>
            </m:r>
          </m:sub>
        </m:sSub>
      </m:oMath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запасы влаги в расчетном слое почвы в начале вегетаци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онного периода, м</w:t>
      </w:r>
      <w:r w:rsidR="0073613F"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Г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подпитывание корнеобитаемого слоя почвы грунтовыми водами;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Т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испарение влаги растениями (транспирация),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И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испарение (эвапорация) влаги почвой,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Ф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фильтрация воды за пределы корнеобитаемого слоя,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/га; </w:t>
      </w:r>
    </w:p>
    <w:p w:rsidR="0073613F" w:rsidRPr="0073613F" w:rsidRDefault="00D93A56" w:rsidP="0073613F">
      <w:pPr>
        <w:shd w:val="clear" w:color="auto" w:fill="FFFFFF"/>
        <w:autoSpaceDE w:val="0"/>
        <w:autoSpaceDN w:val="0"/>
        <w:adjustRightInd w:val="0"/>
        <w:spacing w:after="0"/>
        <w:ind w:left="1418" w:hanging="6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K</m:t>
            </m:r>
          </m:sub>
        </m:sSub>
      </m:oMath>
      <w:r w:rsidR="0073613F"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</w:t>
      </w:r>
      <w:r w:rsidR="0073613F"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запасы влаги в расчетном слое в конце вегетационного периода, м</w:t>
      </w:r>
      <w:r w:rsidR="0073613F"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="0073613F"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val="en-US" w:eastAsia="ru-RU"/>
        </w:rPr>
        <w:t>S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сток оросительной воды,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Из уравнения водного баланса определяют оросительную норму (М):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m:oMath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М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Т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И-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10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L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val="en-US" w:eastAsia="ru-RU"/>
          </w:rPr>
          <m:t> 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P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b/>
                <w:sz w:val="28"/>
                <w:szCs w:val="24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H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K</m:t>
                </m:r>
              </m:sub>
            </m:sSub>
          </m:e>
        </m:d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-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Г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Ф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S</m:t>
        </m:r>
      </m:oMath>
      <w:r w:rsidRPr="007361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Общий расход влаги на транспирацию и испарение (Т + И) составляет суммарное недопотребление (ЕТ).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При определении оросительной нормы учитывается уровень подпи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softHyphen/>
        <w:t xml:space="preserve">тывания грунтовыми водами. На разных по гранулометрическому составу почвах и в зависимости от культуры величина его будет изменяться. В каждом конкретном случае количество используемых грунтовых вод (Г) определяется по экспериментальным данным, а при их отсутствии можно рассчитать по формуле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Г = ЕТ </w:t>
      </w:r>
      <w:r w:rsidRPr="007361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× </w:t>
      </w: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К</w:t>
      </w:r>
      <w:r w:rsidRPr="0073613F">
        <w:rPr>
          <w:rFonts w:ascii="Times New Roman" w:eastAsia="Times New Roman" w:hAnsi="Times New Roman"/>
          <w:b/>
          <w:color w:val="000000"/>
          <w:sz w:val="28"/>
          <w:vertAlign w:val="subscript"/>
          <w:lang w:eastAsia="ru-RU"/>
        </w:rPr>
        <w:t>Г</w:t>
      </w: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,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где: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Г  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используемые грунтовые воды,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ЕТ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 xml:space="preserve">суммарное водопотребление или суммарный расход воды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орошаемым полем,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/га;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Г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коэффициент использования грунтовых вод, представляющий долю суммарного водопотребления.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Таблица – Примерные значения коэффициента использования грунтовых вод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686"/>
        <w:gridCol w:w="815"/>
        <w:gridCol w:w="815"/>
        <w:gridCol w:w="815"/>
        <w:gridCol w:w="815"/>
        <w:gridCol w:w="816"/>
      </w:tblGrid>
      <w:tr w:rsidR="0073613F" w:rsidRPr="0073613F" w:rsidTr="0073613F">
        <w:tc>
          <w:tcPr>
            <w:tcW w:w="1809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Почвогрунт по гранулометрическому составу</w:t>
            </w:r>
          </w:p>
        </w:tc>
        <w:tc>
          <w:tcPr>
            <w:tcW w:w="3686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Агрофон</w:t>
            </w:r>
          </w:p>
        </w:tc>
        <w:tc>
          <w:tcPr>
            <w:tcW w:w="4076" w:type="dxa"/>
            <w:gridSpan w:val="5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Глубина залегания грунтовых вод, м</w:t>
            </w: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</w:t>
            </w:r>
          </w:p>
        </w:tc>
        <w:tc>
          <w:tcPr>
            <w:tcW w:w="81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</w:t>
            </w:r>
          </w:p>
        </w:tc>
        <w:tc>
          <w:tcPr>
            <w:tcW w:w="81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1,5</w:t>
            </w:r>
          </w:p>
        </w:tc>
        <w:tc>
          <w:tcPr>
            <w:tcW w:w="81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2,0</w:t>
            </w:r>
          </w:p>
        </w:tc>
        <w:tc>
          <w:tcPr>
            <w:tcW w:w="816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3,0</w:t>
            </w:r>
          </w:p>
        </w:tc>
      </w:tr>
      <w:tr w:rsidR="0073613F" w:rsidRPr="0073613F" w:rsidTr="0073613F">
        <w:tc>
          <w:tcPr>
            <w:tcW w:w="1809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Легкий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Культуры с корневой системой:</w:t>
            </w: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до 0,6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0,85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0,40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0,15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–</w:t>
            </w: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до 1,0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0,25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–</w:t>
            </w: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более 1,0 м</w:t>
            </w:r>
          </w:p>
        </w:tc>
        <w:tc>
          <w:tcPr>
            <w:tcW w:w="815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1,00</w:t>
            </w:r>
          </w:p>
        </w:tc>
        <w:tc>
          <w:tcPr>
            <w:tcW w:w="815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1,00</w:t>
            </w:r>
          </w:p>
        </w:tc>
        <w:tc>
          <w:tcPr>
            <w:tcW w:w="815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0,70</w:t>
            </w:r>
          </w:p>
        </w:tc>
        <w:tc>
          <w:tcPr>
            <w:tcW w:w="815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0,40</w:t>
            </w:r>
          </w:p>
        </w:tc>
        <w:tc>
          <w:tcPr>
            <w:tcW w:w="816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</w:t>
            </w:r>
          </w:p>
        </w:tc>
      </w:tr>
      <w:tr w:rsidR="0073613F" w:rsidRPr="0073613F" w:rsidTr="0073613F">
        <w:tc>
          <w:tcPr>
            <w:tcW w:w="1809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Тяжелый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Культуры с корневой системой:</w:t>
            </w: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до 0,6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0,75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0,35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0,20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–</w:t>
            </w: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до 1,0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0,95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0,35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0,05</w:t>
            </w:r>
          </w:p>
        </w:tc>
      </w:tr>
      <w:tr w:rsidR="0073613F" w:rsidRPr="0073613F" w:rsidTr="0073613F">
        <w:trPr>
          <w:trHeight w:val="220"/>
        </w:trPr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более 1,0 м</w:t>
            </w:r>
          </w:p>
        </w:tc>
        <w:tc>
          <w:tcPr>
            <w:tcW w:w="815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1,00</w:t>
            </w:r>
          </w:p>
        </w:tc>
        <w:tc>
          <w:tcPr>
            <w:tcW w:w="815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0,95</w:t>
            </w:r>
          </w:p>
        </w:tc>
        <w:tc>
          <w:tcPr>
            <w:tcW w:w="815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0,70</w:t>
            </w:r>
          </w:p>
        </w:tc>
        <w:tc>
          <w:tcPr>
            <w:tcW w:w="815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0,50</w:t>
            </w:r>
          </w:p>
        </w:tc>
        <w:tc>
          <w:tcPr>
            <w:tcW w:w="816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0,15</w:t>
            </w:r>
          </w:p>
        </w:tc>
      </w:tr>
    </w:tbl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701" w:hanging="1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</w:t>
      </w:r>
      <w:r w:rsidRPr="0073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 минерализации грунтовых вод коэффициент (К</w:t>
      </w:r>
      <w:r w:rsidRPr="0073613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Г</w:t>
      </w:r>
      <w:r w:rsidRPr="0073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следует уменьшить в 1,5 – 2,0 раза.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Для выполнения расчетов оросительной нормы студент получает индивидуальное задание по форме: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211"/>
        <w:gridCol w:w="2180"/>
        <w:gridCol w:w="2180"/>
      </w:tblGrid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Название почвы</w:t>
            </w:r>
          </w:p>
        </w:tc>
        <w:tc>
          <w:tcPr>
            <w:tcW w:w="218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Количество осадков (Р), мм</w:t>
            </w: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ЕТ (И + Т), м</w:t>
            </w:r>
            <w:r w:rsidRPr="0073613F">
              <w:rPr>
                <w:rFonts w:ascii="Times New Roman" w:eastAsia="Times New Roman" w:hAnsi="Times New Roman"/>
                <w:sz w:val="28"/>
                <w:szCs w:val="24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/га</w:t>
            </w: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Глубина залегания грунтовых вод, м</w:t>
            </w: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Оросительная норма, м</w:t>
            </w:r>
            <w:r w:rsidRPr="0073613F">
              <w:rPr>
                <w:rFonts w:ascii="Times New Roman" w:eastAsia="Times New Roman" w:hAnsi="Times New Roman"/>
                <w:sz w:val="28"/>
                <w:szCs w:val="24"/>
                <w:vertAlign w:val="superscript"/>
              </w:rPr>
              <w:t>3</w:t>
            </w: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lastRenderedPageBreak/>
        <w:tab/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Поливная норма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 это количество воды, затраченное на один гектар посевов культуры за один полив. Сумма поливных норм, поданных за весь период вегетации, составляет оросительную норму.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Оросительную норму (М) в течение вегетации распределяют отдельными поливными нормами: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М = </w:t>
      </w: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sym w:font="Symbol" w:char="F053"/>
      </w: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m</w:t>
      </w: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,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где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val="en-US" w:eastAsia="ru-RU"/>
        </w:rPr>
        <w:t>m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 поливная норма (количество воды, подаваемое на 1 га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посева данной культуры за один полив),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или мм/га.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Расчет нормы полива производят по влажности корнеобитаемого слоя.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Величина поливной нормы устанавливается в зависимости от влажности при полевой влагоемкости и предполивной влажности почвы корнеобитаемого слоя по формуле: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lang w:eastAsia="ru-RU"/>
          </w:rPr>
          <m:t>m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lang w:eastAsia="ru-RU"/>
          </w:rPr>
          <m:t>100×h×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000000"/>
                <w:lang w:val="en-US" w:eastAsia="ru-RU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Д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/>
                <w:color w:val="000000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ППВ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0000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000000"/>
                    <w:lang w:eastAsia="ru-RU"/>
                  </w:rPr>
                  <m:t>ДМ</m:t>
                </m:r>
              </m:sub>
            </m:sSub>
          </m:e>
        </m:d>
      </m:oMath>
      <w:r w:rsidRPr="0073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,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где: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m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норма полива,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h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глубина увлажняемого слоя, м;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Д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1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плотность почвы, т/м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r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ппв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влажность почвы при наименьшей влагоемкости (НВ), </w:t>
      </w:r>
      <w:r w:rsidRPr="0073613F">
        <w:rPr>
          <w:rFonts w:ascii="Times New Roman" w:eastAsia="Times New Roman" w:hAnsi="Times New Roman"/>
          <w:iCs/>
          <w:color w:val="000000"/>
          <w:sz w:val="28"/>
          <w:lang w:eastAsia="ru-RU"/>
        </w:rPr>
        <w:t>% 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r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дм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влажность почвы в данный момент (полевая влажность), </w:t>
      </w:r>
      <w:r w:rsidRPr="0073613F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%.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При правильном режиме орошения эта влажность должна быть по величине близка к влажности при допустимом пределе иссушения почвы для данного типа почвы и сельскохозяйственной культуры.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Для выполнения расчетов поливной нормы аспирант получает индивидуальное задание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334"/>
        <w:gridCol w:w="1969"/>
        <w:gridCol w:w="1134"/>
        <w:gridCol w:w="767"/>
        <w:gridCol w:w="1678"/>
        <w:gridCol w:w="1348"/>
      </w:tblGrid>
      <w:tr w:rsidR="0073613F" w:rsidRPr="0073613F" w:rsidTr="0073613F">
        <w:tc>
          <w:tcPr>
            <w:tcW w:w="1341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Культура</w:t>
            </w:r>
          </w:p>
        </w:tc>
        <w:tc>
          <w:tcPr>
            <w:tcW w:w="1334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Фаза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развития</w:t>
            </w:r>
          </w:p>
        </w:tc>
        <w:tc>
          <w:tcPr>
            <w:tcW w:w="3870" w:type="dxa"/>
            <w:gridSpan w:val="3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Водно-физические свойства</w:t>
            </w:r>
          </w:p>
        </w:tc>
        <w:tc>
          <w:tcPr>
            <w:tcW w:w="1678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Глубина (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h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) увлажняемого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слоя, м</w:t>
            </w:r>
          </w:p>
        </w:tc>
        <w:tc>
          <w:tcPr>
            <w:tcW w:w="1348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Поливная норма (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m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),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3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/га</w:t>
            </w:r>
          </w:p>
        </w:tc>
      </w:tr>
      <w:tr w:rsidR="0073613F" w:rsidRPr="0073613F" w:rsidTr="0073613F">
        <w:tc>
          <w:tcPr>
            <w:tcW w:w="1341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плотность почвы (Д), г/см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73613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ППВ</w:t>
            </w:r>
          </w:p>
        </w:tc>
        <w:tc>
          <w:tcPr>
            <w:tcW w:w="76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73613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ДМ</w:t>
            </w:r>
          </w:p>
        </w:tc>
        <w:tc>
          <w:tcPr>
            <w:tcW w:w="1678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48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1341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34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6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1341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34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6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Выводы: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Задание для самостоятельной работы №4: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 литературным данным выполнить: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группировку культур по допустимому порогу предпосевной влажности почвы  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r</w:t>
      </w:r>
      <w:r w:rsidRPr="0073613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ДМ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2.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выписать предельный порог иссушения почвы, при котором нарушается водоснабжение растений, в зависимости от поч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венной разновидности.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РАБОТА 6.  ДИАГНОСТИКА СРОКОВ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ПОЛИВА СЕЛЬСКОХОЗЯЙСТВЕННЫХ КУЛЬТУР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Определение срока полива по запасам доступной влаги.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Доступной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(продуктивной)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называют ту часть общей почвенной влаги, которая может быть использована растениями в процессе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жизнедеятельности и участвует в формирования урожая. Это вся влага, которая поглощается за счет сосущей силы корневой системы растений.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Каждая культура даже в пределах одной сельскохозяйственной группы обладает биологическими особенностями, поэтому по степени использования доступной влаги </w:t>
      </w:r>
      <w:r w:rsidRPr="0073613F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 xml:space="preserve">все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культуры делятся на четыре группы: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первой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группе отнесены – лук, перец, картофель;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ко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второй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бананы, виноград, капуста, горох, томаты;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третьей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люцерна, фасоль, арахис, пшеница, арбузы, подсолнечник, ананасы, цитрусовые; 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четвертой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хлопчатник, кукуруза, сорго, соя, свекла сахарная, табак. 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зависимости от группы введен специальный коэффициент исполь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softHyphen/>
        <w:t>зования почвенной влаги при определенной эвапотранспирации.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Таблица –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Коэффициент использования почвенной влаги (К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vertAlign w:val="subscript"/>
          <w:lang w:eastAsia="ru-RU"/>
        </w:rPr>
        <w:t>р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в зависимости от группы культур и величины максимальной эвапотранспирации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162"/>
        <w:gridCol w:w="910"/>
        <w:gridCol w:w="910"/>
        <w:gridCol w:w="911"/>
        <w:gridCol w:w="910"/>
        <w:gridCol w:w="911"/>
        <w:gridCol w:w="910"/>
        <w:gridCol w:w="911"/>
        <w:gridCol w:w="910"/>
        <w:gridCol w:w="911"/>
      </w:tblGrid>
      <w:tr w:rsidR="0073613F" w:rsidRPr="0073613F" w:rsidTr="0073613F">
        <w:tc>
          <w:tcPr>
            <w:tcW w:w="1162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Группа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культур</w:t>
            </w:r>
          </w:p>
        </w:tc>
        <w:tc>
          <w:tcPr>
            <w:tcW w:w="8194" w:type="dxa"/>
            <w:gridSpan w:val="9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ЕТ</w:t>
            </w:r>
            <w:r w:rsidRPr="0073613F">
              <w:rPr>
                <w:rFonts w:ascii="Times New Roman" w:eastAsia="Times New Roman" w:hAnsi="Times New Roman"/>
                <w:color w:val="000000"/>
                <w:sz w:val="28"/>
                <w:vertAlign w:val="subscript"/>
              </w:rPr>
              <w:t>М</w:t>
            </w: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, мм/дн</w:t>
            </w:r>
          </w:p>
        </w:tc>
      </w:tr>
      <w:tr w:rsidR="0073613F" w:rsidRPr="0073613F" w:rsidTr="0073613F">
        <w:trPr>
          <w:trHeight w:val="330"/>
        </w:trPr>
        <w:tc>
          <w:tcPr>
            <w:tcW w:w="1162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63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03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0,500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5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0,200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0,175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0,625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0,576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0,475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0,400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0,250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0,225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0,800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53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0,700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0,600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0,500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0,450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0,350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0,300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0,875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0,800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0,700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0,600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0,550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0,500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0,400</w:t>
            </w: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Естественно, что запасы доступной влаги в корнеобитаемом слое зависят от типа почвы и от глубины проникновения корневой системы растений.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 примеру, используя данные по величине ЕТ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М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(например, 10), запасам доступной влаги 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W</w:t>
      </w:r>
      <w:r w:rsidRPr="0073613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= 170 мм), можем рассчитать для хлопчатника (4 группа) период расхода доступной влаги:</w:t>
      </w:r>
    </w:p>
    <w:p w:rsidR="0073613F" w:rsidRPr="0073613F" w:rsidRDefault="00D93A56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ДН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П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ЕТ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М</m:t>
                </m:r>
              </m:sub>
            </m:sSub>
          </m:den>
        </m:f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170∙0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,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7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дней</m:t>
        </m:r>
      </m:oMath>
      <w:r w:rsidR="0073613F" w:rsidRPr="0073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Оформление расчетов приводят по следующей схеме:</w:t>
      </w:r>
    </w:p>
    <w:tbl>
      <w:tblPr>
        <w:tblStyle w:val="a9"/>
        <w:tblW w:w="0" w:type="auto"/>
        <w:tblLook w:val="04A0"/>
      </w:tblPr>
      <w:tblGrid>
        <w:gridCol w:w="5920"/>
        <w:gridCol w:w="1217"/>
        <w:gridCol w:w="1217"/>
        <w:gridCol w:w="1217"/>
      </w:tblGrid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3</w:t>
            </w: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Запасы доступной влаги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П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Максимальная эвапотранспирация ЕТ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 xml:space="preserve">М,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мм/дн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Коэффициент использования почвенной влаги Кр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Период расхода доступной влаги Т, дн.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Определение срока полива с помощью биофизических коэффициентов (предложено Г.К. Льговым)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Для определения срока очередного вегетационного полива опыт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ным путем по периодам развития культур устанавливают биофизичес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кий коэффициент (К), то есть расход воды на 1°С в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/га. На Северном Кавказе для большинства культур в среднем равен 1,88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 на 1°С.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Зная исходный запас почвенной влаги и имея прогноз среднесу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точных температур воздуха для данного периода, можно заблаговре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менно определить срок полива культуры по формуле: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szCs w:val="19"/>
              <w:lang w:eastAsia="ru-RU"/>
            </w:rPr>
            <m:t>Т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szCs w:val="19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8"/>
                  <w:szCs w:val="19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19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19"/>
                      <w:lang w:val="en-US" w:eastAsia="ru-RU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19"/>
                      <w:lang w:eastAsia="ru-RU"/>
                    </w:rPr>
                    <m:t>П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19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19"/>
                      <w:lang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19"/>
                      <w:lang w:eastAsia="ru-RU"/>
                    </w:rPr>
                    <m:t>Р∙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sz w:val="28"/>
                          <w:szCs w:val="19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19"/>
                          <w:lang w:val="en-US" w:eastAsia="ru-RU"/>
                        </w:rPr>
                        <m:t>К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19"/>
                          <w:lang w:eastAsia="ru-RU"/>
                        </w:rPr>
                        <m:t>а</m:t>
                      </m:r>
                    </m:sub>
                  </m:sSub>
                </m:e>
              </m:d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19"/>
                  <w:lang w:eastAsia="ru-RU"/>
                </w:rPr>
                <m:t>К∙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19"/>
                  <w:lang w:val="en-US" w:eastAsia="ru-RU"/>
                </w:rPr>
                <m:t>t</m:t>
              </m: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где: </w:t>
      </w:r>
    </w:p>
    <w:p w:rsidR="0073613F" w:rsidRPr="0073613F" w:rsidRDefault="0073613F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Т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время, в течение которого может быть израсходована на испарение допустимая норма воды, сутки;</w:t>
      </w:r>
    </w:p>
    <w:p w:rsidR="0073613F" w:rsidRPr="0073613F" w:rsidRDefault="00D93A56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  <m:t>П</m:t>
            </m:r>
          </m:sub>
        </m:sSub>
      </m:oMath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–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запас доступной влаги в корнеобитаемом слое (при допустимом пороге иссушения), м</w:t>
      </w:r>
      <w:r w:rsidR="0073613F"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сумма осадков,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701" w:hanging="981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 xml:space="preserve">а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L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)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коэффициент использования осадков, равный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0,6-0,7; </w:t>
      </w:r>
    </w:p>
    <w:p w:rsidR="0073613F" w:rsidRPr="0073613F" w:rsidRDefault="0073613F" w:rsidP="0073613F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К       –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расход воды на 1°С для данного периода развития растений, для основных культур составляет от 1,3 до 2,7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на 1°С, для риса  3,5-4,0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на 1°С;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hanging="98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t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среднесуточная температура (по прогнозу), </w:t>
      </w:r>
      <w:r w:rsidRPr="007361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С.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Расчеты по данной методике приводят по следующей схеме:</w:t>
      </w:r>
    </w:p>
    <w:tbl>
      <w:tblPr>
        <w:tblStyle w:val="a9"/>
        <w:tblW w:w="0" w:type="auto"/>
        <w:tblLook w:val="04A0"/>
      </w:tblPr>
      <w:tblGrid>
        <w:gridCol w:w="6062"/>
        <w:gridCol w:w="1169"/>
        <w:gridCol w:w="1170"/>
        <w:gridCol w:w="1170"/>
      </w:tblGrid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3</w:t>
            </w: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Запасы доступной влаги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П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Сумма осадков  Р, мм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Коэффициент использования осадков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0,6-0,7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Расход воды на 1</w:t>
            </w:r>
            <w:r w:rsidRPr="0073613F">
              <w:rPr>
                <w:rFonts w:ascii="Times New Roman" w:eastAsia="Times New Roman" w:hAnsi="Times New Roman" w:cs="Times New Roman"/>
                <w:sz w:val="26"/>
                <w:szCs w:val="26"/>
              </w:rPr>
              <w:t>°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 С для данного периода развития культуры,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1,3-2,7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Среднесуточная температура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73613F">
              <w:rPr>
                <w:rFonts w:ascii="Times New Roman" w:eastAsia="Times New Roman" w:hAnsi="Times New Roman" w:cs="Times New Roman"/>
                <w:sz w:val="26"/>
                <w:szCs w:val="26"/>
              </w:rPr>
              <w:t>°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 С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Время на испарение допустимой нормы воды Т, сут.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36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РАБОТА 7.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ОПРЕДЕЛЕНИЕ КАЧЕСТВА ОРОСИТЕЛЬНОЙ ВОДЫ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солонцам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относятся почвы, содержащие в гумусовом горизонте такое количество обменного натрия, которое обусловливает развитие в почвах комплекса неблагоприятных свойств – щелочную реакцию среды, высокую дисперсность минеральной части, связность, набухание при увлажнении, сильное уплотнение и твердость при иссушении.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Солонцы и солонцеватые почвы классифицируют по глубине залегания солонцового горизонта, карбонатов, гипса и по содержанию обменного натрия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7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Солонцы развиваются преимущественно в сухостепной зоне в сочетании с другими почвенными разностями, образуя сложный комплексный почвенный покров. </w:t>
      </w:r>
      <w:r w:rsidRPr="007361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3613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зависимости от размера солонцовых пятен различают микрокомплексы  (площадью менее 100 м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и мезокомплексы (более 100 м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По участию солонцовых пятен выделяют комплексы с содержанием солонцов менее 10 %, от 10 до 25 %, от 25 до 50 и с содержанием более 50 %.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Тип солонцов характеризует природную зону и условия гидроморфизма.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Подтипы солонцов определяют наличие воднорастворимых солей и глубина залегания солевых горизонтов: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солонцы солончаковые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солевой горизонт расположен на глубине не более 30 см; сумма солей составляет  2 – 3 %;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солонцы типичные (солончаковатые)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соли с глубины 30 – 60 см; содержание солей 0,5 – 1,5 %;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солонцы остаточные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засоление во втором метре, количество солей 0,4 – 0,6 %;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солонцы осолоделые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соли расположены глубже 150 см, выделяется осолоделый горизонт А, имеющий кислую реакцию почвенного раствора (рН &lt;7).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Солонцы делятся по типу образовавших их солей, связанных с породообразующими минералами, к их числу относятся солонцы нейтрального типа засоления, нейтрального типа с участием соды (С0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≥ 0,03 мг-экв, НС0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≥ 1,4 мг-экв на 100 г) и содового типа. Виды солонцов характеризуются по развитию   солонцового   профиля  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8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</w:t>
      </w:r>
    </w:p>
    <w:p w:rsidR="0073613F" w:rsidRPr="0073613F" w:rsidRDefault="0073613F" w:rsidP="0073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Встречаются почвы, в которых морфологические признаки солонцеватости не коррелируют с содержанием обменного натрия. В них часто наблюдается повышенное количество обменного магния и сохраняются отрицательные водные и физические свойства, снижающие агрономические качества. Существует несколько методов оценки качества оросительных вод.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1.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Метод оценки оросительных вод по коэффициенту (К) ионного обмена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(предложили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И.Н. Антипов-Каратаев и Г.М. Кадер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в 1961 г.):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4"/>
              <w:lang w:eastAsia="ru-RU"/>
            </w:rPr>
            <m:t>К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sz w:val="28"/>
                  <w:szCs w:val="24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r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Ca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val="en-US" w:eastAsia="ru-RU"/>
                    </w:rPr>
                    <m:t>+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>+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r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Mg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val="en-US" w:eastAsia="ru-RU"/>
                    </w:rPr>
                    <m:t>+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r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Na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val="en-US" w:eastAsia="ru-RU"/>
                    </w:rPr>
                    <m:t>+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>+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0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>,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23 S</m:t>
              </m: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где: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val="en-US" w:eastAsia="ru-RU"/>
        </w:rPr>
        <w:t>S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 минерализация воды, г/л;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4"/>
            <w:lang w:val="en-US" w:eastAsia="ru-RU"/>
          </w:rPr>
          <m:t>r</m:t>
        </m:r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Ca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, </m:t>
        </m:r>
        <m:r>
          <w:rPr>
            <w:rFonts w:ascii="Cambria Math" w:eastAsia="Times New Roman" w:hAnsi="Cambria Math"/>
            <w:sz w:val="28"/>
            <w:szCs w:val="24"/>
            <w:lang w:val="en-US" w:eastAsia="ru-RU"/>
          </w:rPr>
          <m:t>r</m:t>
        </m:r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Mg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, </m:t>
        </m:r>
        <m:r>
          <w:rPr>
            <w:rFonts w:ascii="Cambria Math" w:eastAsia="Times New Roman" w:hAnsi="Cambria Math"/>
            <w:sz w:val="28"/>
            <w:szCs w:val="24"/>
            <w:lang w:val="en-US" w:eastAsia="ru-RU"/>
          </w:rPr>
          <m:t>r</m:t>
        </m:r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Na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+</m:t>
            </m:r>
          </m:sup>
        </m:sSup>
      </m:oMath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– содержание этих элементов в воде, мг-экв/л.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При  К &lt; 1 вода считается непригодной для орошения.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2.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Показатель адсорбционного отношения (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val="en-US" w:eastAsia="ru-RU"/>
        </w:rPr>
        <w:t>S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А</w:t>
      </w:r>
      <w:r w:rsidRPr="0073613F">
        <w:rPr>
          <w:rFonts w:ascii="Times New Roman" w:eastAsia="Times New Roman" w:hAnsi="Times New Roman"/>
          <w:b/>
          <w:smallCaps/>
          <w:color w:val="000000"/>
          <w:sz w:val="28"/>
          <w:szCs w:val="19"/>
          <w:lang w:val="en-US" w:eastAsia="ru-RU"/>
        </w:rPr>
        <w:t>R</w:t>
      </w:r>
      <w:r w:rsidRPr="0073613F">
        <w:rPr>
          <w:rFonts w:ascii="Times New Roman" w:eastAsia="Times New Roman" w:hAnsi="Times New Roman"/>
          <w:b/>
          <w:smallCaps/>
          <w:color w:val="000000"/>
          <w:sz w:val="28"/>
          <w:szCs w:val="19"/>
          <w:lang w:eastAsia="ru-RU"/>
        </w:rPr>
        <w:t>)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, рассчитывается по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формуле Гапона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(используется для оценки воды в США):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SAR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sz w:val="28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Na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eastAsia="ru-RU"/>
                    </w:rPr>
                    <m:t>+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sz w:val="28"/>
                          <w:szCs w:val="24"/>
                          <w:lang w:val="en-US" w:eastAsia="ru-RU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sz w:val="28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val="en-US" w:eastAsia="ru-RU"/>
                            </w:rPr>
                            <m:t>Ca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val="en-US" w:eastAsia="ru-RU"/>
                            </w:rPr>
                            <m:t>2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Times New Roman" w:cs="Times New Roman"/>
                              <w:sz w:val="28"/>
                              <w:szCs w:val="24"/>
                              <w:lang w:val="en-US" w:eastAsia="ru-RU"/>
                            </w:rPr>
                            <m:t>+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4"/>
                          <w:lang w:val="en-US"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sz w:val="28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val="en-US" w:eastAsia="ru-RU"/>
                            </w:rPr>
                            <m:t>Mg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val="en-US" w:eastAsia="ru-RU"/>
                            </w:rPr>
                            <m:t>2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Times New Roman" w:cs="Times New Roman"/>
                              <w:sz w:val="28"/>
                              <w:szCs w:val="24"/>
                              <w:lang w:val="en-US" w:eastAsia="ru-RU"/>
                            </w:rPr>
                            <m:t>+</m:t>
                          </m:r>
                        </m:sup>
                      </m:sSup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val="en-US" w:eastAsia="ru-RU"/>
                        </w:rPr>
                        <m:t>2</m:t>
                      </m:r>
                    </m:den>
                  </m:f>
                </m:e>
              </m:rad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где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Ca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Mg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Na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+</m:t>
            </m:r>
          </m:sup>
        </m:sSup>
      </m:oMath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 концентрация катионов солей, мг-экв/л.;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По величине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val="en-US" w:eastAsia="ru-RU"/>
        </w:rPr>
        <w:t>SAR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дается оценка опасности осолонцевания почв:</w:t>
      </w:r>
    </w:p>
    <w:tbl>
      <w:tblPr>
        <w:tblStyle w:val="a9"/>
        <w:tblW w:w="0" w:type="auto"/>
        <w:tblInd w:w="675" w:type="dxa"/>
        <w:tblLook w:val="04A0"/>
      </w:tblPr>
      <w:tblGrid>
        <w:gridCol w:w="4110"/>
        <w:gridCol w:w="4112"/>
      </w:tblGrid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 xml:space="preserve">Показатель </w:t>
            </w: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  <w:lang w:val="en-US"/>
              </w:rPr>
              <w:t>S</w:t>
            </w: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>А</w:t>
            </w:r>
            <w:r w:rsidRPr="0073613F">
              <w:rPr>
                <w:rFonts w:ascii="Times New Roman" w:eastAsia="Times New Roman" w:hAnsi="Times New Roman"/>
                <w:b/>
                <w:smallCaps/>
                <w:color w:val="000000"/>
                <w:sz w:val="28"/>
                <w:szCs w:val="19"/>
                <w:lang w:val="en-US"/>
              </w:rPr>
              <w:t>R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>Опасность осолонцевания</w:t>
            </w:r>
          </w:p>
        </w:tc>
      </w:tr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менее 10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малая</w:t>
            </w:r>
          </w:p>
        </w:tc>
      </w:tr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10 – 18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средняя</w:t>
            </w:r>
          </w:p>
        </w:tc>
      </w:tr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18 – 26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высокая</w:t>
            </w:r>
          </w:p>
        </w:tc>
      </w:tr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более 26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очень высокая</w:t>
            </w: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Однако в этой формуле при оценке опасности осолонцевания не учитываются резервы Са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2+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имеющиеся в почве. Поэтому в некоторых лабораториях США и других странах используются модификации этой формулы (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приложение 10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).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По данной работе необходимо рассчитать опасность осолонцевания двумя методами и результаты оформить в виде таблицы.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701"/>
        <w:gridCol w:w="1560"/>
        <w:gridCol w:w="1559"/>
        <w:gridCol w:w="1134"/>
        <w:gridCol w:w="2375"/>
      </w:tblGrid>
      <w:tr w:rsidR="0073613F" w:rsidRPr="0073613F" w:rsidTr="0073613F">
        <w:tc>
          <w:tcPr>
            <w:tcW w:w="1242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Вариант</w:t>
            </w:r>
          </w:p>
        </w:tc>
        <w:tc>
          <w:tcPr>
            <w:tcW w:w="1701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Содержание ионов, 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мг-экв/л</w:t>
            </w:r>
          </w:p>
        </w:tc>
        <w:tc>
          <w:tcPr>
            <w:tcW w:w="4253" w:type="dxa"/>
            <w:gridSpan w:val="3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Коэффициент</w:t>
            </w:r>
          </w:p>
        </w:tc>
        <w:tc>
          <w:tcPr>
            <w:tcW w:w="2375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Заключение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 пригодности </w:t>
            </w: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воды для орошения</w:t>
            </w:r>
          </w:p>
        </w:tc>
      </w:tr>
      <w:tr w:rsidR="0073613F" w:rsidRPr="0073613F" w:rsidTr="0073613F">
        <w:tc>
          <w:tcPr>
            <w:tcW w:w="1242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701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ирригаци-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онный (У)</w:t>
            </w:r>
          </w:p>
        </w:tc>
        <w:tc>
          <w:tcPr>
            <w:tcW w:w="155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ионного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обмена (К)</w:t>
            </w:r>
          </w:p>
        </w:tc>
        <w:tc>
          <w:tcPr>
            <w:tcW w:w="1134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SAR</w:t>
            </w:r>
          </w:p>
        </w:tc>
        <w:tc>
          <w:tcPr>
            <w:tcW w:w="2375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</w:tr>
      <w:tr w:rsidR="0073613F" w:rsidRPr="0073613F" w:rsidTr="0073613F">
        <w:tc>
          <w:tcPr>
            <w:tcW w:w="124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</w:tr>
      <w:tr w:rsidR="0073613F" w:rsidRPr="0073613F" w:rsidTr="0073613F">
        <w:tc>
          <w:tcPr>
            <w:tcW w:w="124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Выводы.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Задание для самостоятельной работы №5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Ознакомиться с существующими классификациями оросительной воды (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приложение 1, 2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).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iCs/>
          <w:color w:val="000000"/>
          <w:sz w:val="28"/>
          <w:szCs w:val="20"/>
          <w:lang w:eastAsia="ru-RU"/>
        </w:rPr>
        <w:t>2.</w:t>
      </w:r>
      <w:r w:rsidRPr="0073613F">
        <w:rPr>
          <w:rFonts w:ascii="Times New Roman" w:eastAsia="Times New Roman" w:hAnsi="Times New Roman"/>
          <w:iCs/>
          <w:color w:val="000000"/>
          <w:sz w:val="28"/>
          <w:szCs w:val="20"/>
          <w:lang w:eastAsia="ru-RU"/>
        </w:rPr>
        <w:tab/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Изучить классификацию солеустойчивости сельскохозяйственных культур.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РАБОТА 8.  ДИАГНОСТИКА СРОКОВ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ПОЛИВА СЕЛЬСКОХОЗЯЙСТВЕННЫХ КУЛЬТУР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Определение срока полива по запасам доступной влаги.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Доступной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(продуктивной)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называют ту часть общей почвенной влаги, которая может быть использована растениями в процессе жизнедеятельности и участвует в формирования урожая. Это вся влага, которая поглощается за счет сосущей силы корневой системы растений.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Каждая культура даже в пределах одной сельскохозяйственной группы обладает биологическими особенностями, поэтому по степени использования доступной влаги </w:t>
      </w:r>
      <w:r w:rsidRPr="0073613F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 xml:space="preserve">все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культуры делятся на четыре группы: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первой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группе отнесены – лук, перец, картофель;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ко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второй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бананы, виноград, капуста, горох, томаты;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третьей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люцерна, фасоль, арахис, пшеница, арбузы, подсолнечник, ананасы, цитрусовые; 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четвертой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хлопчатник, кукуруза, сорго, соя, свекла сахарная, табак. 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зависимости от группы введен специальный коэффициент исполь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softHyphen/>
        <w:t>зования почвенной влаги при определенной эвапотранспирации.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Таблица –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Коэффициент использования почвенной влаги (К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vertAlign w:val="subscript"/>
          <w:lang w:eastAsia="ru-RU"/>
        </w:rPr>
        <w:t>р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в зависимости от группы культур и величины максимальной эвапотранспирации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162"/>
        <w:gridCol w:w="910"/>
        <w:gridCol w:w="910"/>
        <w:gridCol w:w="911"/>
        <w:gridCol w:w="910"/>
        <w:gridCol w:w="911"/>
        <w:gridCol w:w="910"/>
        <w:gridCol w:w="911"/>
        <w:gridCol w:w="910"/>
        <w:gridCol w:w="911"/>
      </w:tblGrid>
      <w:tr w:rsidR="0073613F" w:rsidRPr="0073613F" w:rsidTr="0073613F">
        <w:tc>
          <w:tcPr>
            <w:tcW w:w="1162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Группа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культур</w:t>
            </w:r>
          </w:p>
        </w:tc>
        <w:tc>
          <w:tcPr>
            <w:tcW w:w="8194" w:type="dxa"/>
            <w:gridSpan w:val="9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ЕТ</w:t>
            </w:r>
            <w:r w:rsidRPr="0073613F">
              <w:rPr>
                <w:rFonts w:ascii="Times New Roman" w:eastAsia="Times New Roman" w:hAnsi="Times New Roman"/>
                <w:color w:val="000000"/>
                <w:sz w:val="28"/>
                <w:vertAlign w:val="subscript"/>
              </w:rPr>
              <w:t>М</w:t>
            </w: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, мм/дн</w:t>
            </w:r>
          </w:p>
        </w:tc>
      </w:tr>
      <w:tr w:rsidR="0073613F" w:rsidRPr="0073613F" w:rsidTr="0073613F">
        <w:trPr>
          <w:trHeight w:val="330"/>
        </w:trPr>
        <w:tc>
          <w:tcPr>
            <w:tcW w:w="1162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63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03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0,500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5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0,200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0,175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0,625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0,576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0,475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0,400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0,250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0,225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0,800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53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0,700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0,600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0,500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0,450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0,350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0,300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0,875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0,800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0,700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0,600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0,550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0,500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0,400</w:t>
            </w: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Естественно, что запасы доступной влаги в корнеобитаемом слое зависят от типа почвы и от глубины проникновения корневой системы растений.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 примеру, используя данные по величине ЕТ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М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(например, 10), запасам доступной влаги 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W</w:t>
      </w:r>
      <w:r w:rsidRPr="0073613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= 170 мм), можем рассчитать для хлопчатника (4 группа) период расхода доступной влаги:</w:t>
      </w:r>
    </w:p>
    <w:p w:rsidR="0073613F" w:rsidRPr="0073613F" w:rsidRDefault="00D93A56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ДН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П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ЕТ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М</m:t>
                </m:r>
              </m:sub>
            </m:sSub>
          </m:den>
        </m:f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170∙0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,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7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дней</m:t>
        </m:r>
      </m:oMath>
      <w:r w:rsidR="0073613F" w:rsidRPr="0073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Оформление расчетов приводят по следующей схеме:</w:t>
      </w:r>
    </w:p>
    <w:tbl>
      <w:tblPr>
        <w:tblStyle w:val="a9"/>
        <w:tblW w:w="0" w:type="auto"/>
        <w:tblLook w:val="04A0"/>
      </w:tblPr>
      <w:tblGrid>
        <w:gridCol w:w="5920"/>
        <w:gridCol w:w="1217"/>
        <w:gridCol w:w="1217"/>
        <w:gridCol w:w="1217"/>
      </w:tblGrid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3</w:t>
            </w: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Запасы доступной влаги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П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Максимальная эвапотранспирация ЕТ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 xml:space="preserve">М,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мм/дн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Коэффициент использования почвенной влаги Кр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Период расхода доступной влаги Т, дн.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Определение срока полива с помощью биофизических коэффициентов (предложено Г.К. Льговым)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Для определения срока очередного вегетационного полива опыт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ным путем по периодам развития культур устанавливают биофизичес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кий коэффициент (К), то есть расход воды на 1°С в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/га. На Северном Кавказе для большинства культур в среднем равен 1,88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 на 1°С.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Зная исходный запас почвенной влаги и имея прогноз среднесу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точных температур воздуха для данного периода, можно заблаговре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менно определить срок полива культуры по формуле: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szCs w:val="19"/>
              <w:lang w:eastAsia="ru-RU"/>
            </w:rPr>
            <m:t>Т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szCs w:val="19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8"/>
                  <w:szCs w:val="19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19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19"/>
                      <w:lang w:val="en-US" w:eastAsia="ru-RU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19"/>
                      <w:lang w:eastAsia="ru-RU"/>
                    </w:rPr>
                    <m:t>П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19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19"/>
                      <w:lang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19"/>
                      <w:lang w:eastAsia="ru-RU"/>
                    </w:rPr>
                    <m:t>Р∙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sz w:val="28"/>
                          <w:szCs w:val="19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19"/>
                          <w:lang w:val="en-US" w:eastAsia="ru-RU"/>
                        </w:rPr>
                        <m:t>К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19"/>
                          <w:lang w:eastAsia="ru-RU"/>
                        </w:rPr>
                        <m:t>а</m:t>
                      </m:r>
                    </m:sub>
                  </m:sSub>
                </m:e>
              </m:d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19"/>
                  <w:lang w:eastAsia="ru-RU"/>
                </w:rPr>
                <m:t>К∙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19"/>
                  <w:lang w:val="en-US" w:eastAsia="ru-RU"/>
                </w:rPr>
                <m:t>t</m:t>
              </m: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где: </w:t>
      </w:r>
    </w:p>
    <w:p w:rsidR="0073613F" w:rsidRPr="0073613F" w:rsidRDefault="0073613F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Т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время, в течение которого может быть израсходована на испарение допустимая норма воды, сутки;</w:t>
      </w:r>
    </w:p>
    <w:p w:rsidR="0073613F" w:rsidRPr="0073613F" w:rsidRDefault="00D93A56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  <m:t>П</m:t>
            </m:r>
          </m:sub>
        </m:sSub>
      </m:oMath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–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запас доступной влаги в корнеобитаемом слое (при допустимом пороге иссушения), м</w:t>
      </w:r>
      <w:r w:rsidR="0073613F"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сумма осадков,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701" w:hanging="981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 xml:space="preserve">а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L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)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коэффициент использования осадков, равный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0,6-0,7; </w:t>
      </w:r>
    </w:p>
    <w:p w:rsidR="0073613F" w:rsidRPr="0073613F" w:rsidRDefault="0073613F" w:rsidP="0073613F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К       –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расход воды на 1°С для данного периода развития растений, для основных культур составляет от 1,3 до 2,7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на 1°С, для риса  3,5-4,0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на 1°С;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hanging="98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t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среднесуточная температура (по прогнозу), </w:t>
      </w:r>
      <w:r w:rsidRPr="007361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С.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Расчеты по данной методике приводят по следующей схеме:</w:t>
      </w:r>
    </w:p>
    <w:tbl>
      <w:tblPr>
        <w:tblStyle w:val="a9"/>
        <w:tblW w:w="0" w:type="auto"/>
        <w:tblLook w:val="04A0"/>
      </w:tblPr>
      <w:tblGrid>
        <w:gridCol w:w="6062"/>
        <w:gridCol w:w="1169"/>
        <w:gridCol w:w="1170"/>
        <w:gridCol w:w="1170"/>
      </w:tblGrid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3</w:t>
            </w: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Запасы доступной влаги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П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Сумма осадков  Р, мм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Коэффициент использования осадков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0,6-0,7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Расход воды на 1</w:t>
            </w:r>
            <w:r w:rsidRPr="0073613F">
              <w:rPr>
                <w:rFonts w:ascii="Times New Roman" w:eastAsia="Times New Roman" w:hAnsi="Times New Roman" w:cs="Times New Roman"/>
                <w:sz w:val="26"/>
                <w:szCs w:val="26"/>
              </w:rPr>
              <w:t>°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 С для данного периода развития культуры,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1,3-2,7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Среднесуточная температура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73613F">
              <w:rPr>
                <w:rFonts w:ascii="Times New Roman" w:eastAsia="Times New Roman" w:hAnsi="Times New Roman" w:cs="Times New Roman"/>
                <w:sz w:val="26"/>
                <w:szCs w:val="26"/>
              </w:rPr>
              <w:t>°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 С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Время на испарение допустимой нормы воды Т, сут.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4A3540" w:rsidP="0073613F">
      <w:pPr>
        <w:spacing w:before="480" w:after="480" w:line="240" w:lineRule="auto"/>
        <w:ind w:left="72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РАБОТА 9</w:t>
      </w:r>
      <w:r w:rsidR="0073613F" w:rsidRPr="0073613F">
        <w:rPr>
          <w:rFonts w:ascii="Times New Roman" w:eastAsiaTheme="minorEastAsia" w:hAnsi="Times New Roman"/>
          <w:sz w:val="28"/>
          <w:szCs w:val="28"/>
          <w:lang w:eastAsia="ru-RU"/>
        </w:rPr>
        <w:t>. ПОЧВЕННО-АГРОЭКОЛОГИЧЕСКОЕ РАЙОНИРОВАНИЕ СЕЛЬСКОХОЗЯЙСТВЕННЫХ ЗЕМЕЛЬ РОССИИ</w:t>
      </w:r>
    </w:p>
    <w:p w:rsidR="0073613F" w:rsidRPr="0073613F" w:rsidRDefault="0073613F" w:rsidP="0073613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Почвенно-агроэкологическое районирование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это типизация сельскохозяйственных земель, основанная на оценке почвенно-климатических показателей, свойств и процессов, лимитирующих плодородие почв и характеризующих экологическое состояние агросистем.</w:t>
      </w:r>
    </w:p>
    <w:p w:rsidR="0073613F" w:rsidRPr="0073613F" w:rsidRDefault="0073613F" w:rsidP="0073613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1998 г. в журнале «Экология» Е.И. Панкова, А.Ф. Новикова опубликовали результаты почвенно-агроэкологического районирования территории РФ. Авторы разработали карту почвенно-агроэкологического районирования РФ, используя различные почвенно-картографические материалы.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итоге на карте почвенно-агроэкологичского районирования в пределах равнинных и горных территорий выделены: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–земли сельскохозяйственных угодий; 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–орошаемые земли; 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–земли гослесфонда, среди которых особым знаком отмечены сильно заболоченные леса; 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–даны границы областей, краев и республик России;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–в пределах равнин выделены почвенно-агроэкологические пояса, зоны, провинции и категории земель, а также группы земель, различающиеся по интенсивности проявления деградационных процессов. </w:t>
      </w:r>
    </w:p>
    <w:p w:rsidR="0073613F" w:rsidRPr="0073613F" w:rsidRDefault="0073613F" w:rsidP="0073613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Агроэкологический пояс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объединяет территории, характеризуемые комплексом природных условий, определяющих направленность сельскохозяйственного производства, а также развитие главного для данной территории процесса, лимитирующего плодородие почв.</w:t>
      </w:r>
    </w:p>
    <w:p w:rsidR="0073613F" w:rsidRPr="0073613F" w:rsidRDefault="0073613F" w:rsidP="0073613F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Почвенно-агроэкологические зоны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характеризуются специфическим комплексом почвенно-климатических условий, определяемых балансом тепла и влаги, особенностями почвообразования, а также направленностью сельскохозяйственного производства. Для каждой зоны характерны определенные деградационные почвенные процессы и свойства, лимитирующие плодородие почв, а также различная степень их проявления, что</w:t>
      </w:r>
      <w:r w:rsidRPr="0073613F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в конечном итоге и определяет зональный 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комплекс мелиоративных мероприятий.</w:t>
      </w:r>
    </w:p>
    <w:p w:rsidR="0073613F" w:rsidRPr="0073613F" w:rsidRDefault="0073613F" w:rsidP="007361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Почвенио-агроэкологическая провинция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</w:t>
      </w: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часть зоны, характеризуемая фациальными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особенностями почвенного покрова, определяемо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прежде всего особенностями теплового и 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водного режимов, влияющих на специфику развит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ия свойств и процессов, лимитирующих плодо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родие почв.</w:t>
      </w:r>
    </w:p>
    <w:p w:rsidR="0073613F" w:rsidRPr="0073613F" w:rsidRDefault="0073613F" w:rsidP="0073613F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Почвенно-агроэкологическая категория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объедин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яет земли по деградационным процессам и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свойствам, лимитирующим плодородие почв. </w:t>
      </w:r>
    </w:p>
    <w:p w:rsidR="0073613F" w:rsidRPr="0073613F" w:rsidRDefault="0073613F" w:rsidP="0073613F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Почвенно-агроэкологические категории зем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ель разделены на группы по степени выраженности свойств и процессов, лимитирующих плодо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родие почв. При выделении групп учитывали </w:t>
      </w: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три уровня проявления основного лимитирующего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процесса (слабое, среднее, сильное).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right="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73613F" w:rsidRPr="0073613F" w:rsidSect="004A3540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613F" w:rsidRPr="0073613F" w:rsidRDefault="0073613F" w:rsidP="0073613F">
      <w:pPr>
        <w:shd w:val="clear" w:color="auto" w:fill="FFFFFF"/>
        <w:spacing w:after="0" w:line="240" w:lineRule="auto"/>
        <w:ind w:right="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ПОЧВЕННО-АГРОЭКОЛОГИЧЕСКИХ ПОЯСОВ И ЗОН РФ</w:t>
      </w:r>
    </w:p>
    <w:tbl>
      <w:tblPr>
        <w:tblStyle w:val="13"/>
        <w:tblW w:w="15134" w:type="dxa"/>
        <w:tblLayout w:type="fixed"/>
        <w:tblLook w:val="04A0"/>
      </w:tblPr>
      <w:tblGrid>
        <w:gridCol w:w="2376"/>
        <w:gridCol w:w="4253"/>
        <w:gridCol w:w="3118"/>
        <w:gridCol w:w="2268"/>
        <w:gridCol w:w="3119"/>
      </w:tblGrid>
      <w:tr w:rsidR="0073613F" w:rsidRPr="0073613F" w:rsidTr="0073613F">
        <w:tc>
          <w:tcPr>
            <w:tcW w:w="2376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АГРОЭКОЛОГИЧЕСКИЕ ПОЯСА</w:t>
            </w:r>
          </w:p>
        </w:tc>
        <w:tc>
          <w:tcPr>
            <w:tcW w:w="4253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ПОЧВЕННО-АГРОЭКОЛОГИЧЕСКИЕ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ЗОНЫ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ПОЧВЕННО-АГРОЭКОЛОГИЧЕСКИЕ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ПРОВИНЦИИ</w:t>
            </w:r>
          </w:p>
        </w:tc>
        <w:tc>
          <w:tcPr>
            <w:tcW w:w="226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ПОЧВЕННО-АГРОЭКОЛОГИЧЕСКИЕ КАТЕГОРИИ</w:t>
            </w:r>
          </w:p>
        </w:tc>
        <w:tc>
          <w:tcPr>
            <w:tcW w:w="3119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ПРОЦЕССЫ, ЛИМИТИРУЮЩИЕ ПЛОДОРОДИЕ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МЕЛИОРАТИВНЫЕ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73613F" w:rsidRPr="0073613F" w:rsidTr="0073613F">
        <w:tc>
          <w:tcPr>
            <w:tcW w:w="2376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ПОЯС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ПЕРЕУВЛАЖНЕННЫХ И КИСЛЫХ ПОЧВ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(ПРЕИМУЩЕСТ</w:t>
            </w:r>
            <w:r w:rsidRPr="007361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 БОЛОТНЫХ, БОЛОТНО-ПОДЗОЛИСТЫХ И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ПОДЗО</w:t>
            </w:r>
            <w:r w:rsidRPr="007361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ЛИСТЫХ)</w:t>
            </w: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I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полярно-тундровая зона с преобладанием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арктических и тундровых переувлажненных 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почв. 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</w:t>
            </w:r>
          </w:p>
        </w:tc>
        <w:tc>
          <w:tcPr>
            <w:tcW w:w="2268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Выделены для всех по ведущему деградационному процессу: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1 – переувлаж</w:t>
            </w: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нённые;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2 – кислые не переувлажненные;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3 – кислые пе</w:t>
            </w: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4 – эродированные;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3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5 – дефлирова</w:t>
            </w: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6 – сочетание дефлированных и эродирова</w:t>
            </w: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нных;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 – засоленные;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 – засоленно-солонцовые;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9 – 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пойменные.</w:t>
            </w:r>
          </w:p>
        </w:tc>
        <w:tc>
          <w:tcPr>
            <w:tcW w:w="3119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Основными свойствами и процес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сами, лимитирующими плодородие почв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являются переувлажненность в сочетании с кислотностью, в автоморфных условиях локальная эродированность, а на пойменных 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землях паводковое затопление. Все процессы 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проявляются на фоне низкой теплообеспеченност</w:t>
            </w:r>
            <w:r w:rsidRPr="007361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и, дефицит тепла возрастает в направле</w:t>
            </w: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нии с запада на восток.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Комплекс мелиоративных 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мероприятий  на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правлен на регулирование теплового и водного режимов почв (снижение увлажнения и повышение 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теплобеспеченности), уменьшение кислотности </w:t>
            </w:r>
            <w:r w:rsidRPr="007361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почв. На эродированных землях необходимо про</w:t>
            </w:r>
            <w:r w:rsidRPr="007361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ведение биомелиораций - восстановление лесов</w:t>
            </w:r>
          </w:p>
        </w:tc>
      </w:tr>
      <w:tr w:rsidR="0073613F" w:rsidRPr="0073613F" w:rsidTr="0073613F">
        <w:trPr>
          <w:trHeight w:val="20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А-П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 северо-таежная зона очагового земле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делия и животноводства, с господством переув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лажненных кислых (глееподзолистых и болот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ных), длительно промерзающих и мерзлотных </w:t>
            </w:r>
            <w:r w:rsidRPr="007361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почв.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А-П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1</w:t>
            </w:r>
            <w:r w:rsidRPr="0073613F">
              <w:rPr>
                <w:rFonts w:ascii="Times New Roman" w:hAnsi="Times New Roman" w:cs="Times New Roman"/>
                <w:sz w:val="23"/>
                <w:szCs w:val="23"/>
              </w:rPr>
              <w:t xml:space="preserve">  – Европейская 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А-П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sz w:val="23"/>
                <w:szCs w:val="23"/>
              </w:rPr>
              <w:t xml:space="preserve">  – 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А-П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sz w:val="23"/>
                <w:szCs w:val="23"/>
              </w:rPr>
              <w:t xml:space="preserve">  – Северо-Восточная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А-П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4</w:t>
            </w:r>
            <w:r w:rsidRPr="0073613F">
              <w:rPr>
                <w:rFonts w:ascii="Times New Roman" w:hAnsi="Times New Roman" w:cs="Times New Roman"/>
                <w:sz w:val="23"/>
                <w:szCs w:val="23"/>
              </w:rPr>
              <w:t xml:space="preserve">  – Камчатская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А-Ш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среднетаежная зона мясо-молочного 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животноводства и очагового земледелия, с преоб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ладанием переувлажненных и не переувлажнен</w:t>
            </w:r>
            <w:r w:rsidRPr="007361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кислых почв (подзолистых и подзолисто-болотных, болотных, мерзлотно-таежных, палевых 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мерзлотных), с локальным проявлением эрозии в 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автоморфных условиях и засоления - в гидро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морфных.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А-Ш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1 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–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Европейская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А-Ш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2 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–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Западно-Сибирская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А-Ш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3 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Среднесибирская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А-Ш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4 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Центрально-Якутская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южнотаежная зона развитого мясо-мо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лочного животноводства и земледелия, с преоб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ладанием кислых непереувлажненных и переув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лажненных почв (дерново-подзолистых, таеж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ных, палевых, глееватых, подзолисто-болотных и болотных), с локальным проявлением эрозии*, засоления, солонцеватости.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1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Прибалтийская (восточная)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Среднерусская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Западно-Сибирская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4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Среднесибирская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5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Дальневосточно-Сахалинская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6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Дальневосточно-Амуро-Уссурийская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419"/>
        </w:trPr>
        <w:tc>
          <w:tcPr>
            <w:tcW w:w="2376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ПОЯС </w:t>
            </w: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ВЫСОКОГУМУСНЫХ ПОЧВ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ДОСТА</w:t>
            </w: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ТОЧНОГО ИЛИ НЕДОСТАТОЧНОГО УВЛАЖНЕНИЯ, СРЕДНЕ </w:t>
            </w:r>
            <w:r w:rsidRPr="007361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ОБЕСПЕЧЕННЫХ ТЕПЛОМ,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СЛАБОКИСЛЫХ И НЕЙТРАЛЬ</w:t>
            </w:r>
            <w:r w:rsidRPr="007361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НЫХ, С ГОСПОДСТВОМ СЕРЫХ ЛЕСНЫХ И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ЧЕРНОЗЕМНЫХ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ЭРОДИРОВАННЫХ И ДЕФЛИРОВАННЫХ ПОЧВ,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 ПРОЯВ</w:t>
            </w: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3613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ЛЕНИЕМ В ГИДРОМОРФНЫХ И ПОЛУГИДРОМОРФНЫХ УС</w:t>
            </w:r>
            <w:r w:rsidRPr="0073613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 xml:space="preserve">ЛОВИЯХ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ЗАСОЛЕНИЯ</w:t>
            </w: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СОЛОНЦЕВАТОСТИ</w:t>
            </w:r>
          </w:p>
        </w:tc>
        <w:tc>
          <w:tcPr>
            <w:tcW w:w="4253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лесостепная, интенсивного земледе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лия и мясо-молочного животноводства, с господст</w:t>
            </w: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вом высокогумусных и с повышенным содержани</w:t>
            </w:r>
            <w:r w:rsidRPr="007361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 гумуса почв (черноземы оподзоленные, выще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лоченные, типичные, лугово-черноземные, серые, 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бурые лесные), слабокислых и нейтральных, пре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имущественно эродированных, реже дефлирован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ных, с проявлением слитогенеза; в гидроморфных 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условиях - засоленных, солонцеватых почв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lastRenderedPageBreak/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vertAlign w:val="subscript"/>
              </w:rPr>
              <w:t>1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  <w:vertAlign w:val="subscript"/>
              </w:rPr>
              <w:t xml:space="preserve"> 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– Среднерусская</w:t>
            </w:r>
          </w:p>
        </w:tc>
        <w:tc>
          <w:tcPr>
            <w:tcW w:w="2268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Выделены для всех </w:t>
            </w: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lastRenderedPageBreak/>
              <w:t>по ведущему деградационному процессу: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1 – переувлаж</w:t>
            </w: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нённые;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2 – кислые не переувлажненные;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3 – кислые пе</w:t>
            </w: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4 – эродированные;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3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5 – дефлирова</w:t>
            </w: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6 – сочетание дефлированных и эродирова</w:t>
            </w: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нных;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 – засоленные;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 – засоленно-солонцовые;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9 – 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пойменные.</w:t>
            </w:r>
          </w:p>
        </w:tc>
        <w:tc>
          <w:tcPr>
            <w:tcW w:w="3119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14"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процессами,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лимитирующими плодородие почв, являются эрозия и дефляция в автоморфных условиях и за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соление и солонцеватость - в полугидроморфных и гидроморфных, а также периодический дефи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цит влаги.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Против эрозии и дефляции основным является комплекс биоме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лиоративных мероприятий. На территориях, подверженных процессам засоления и солонцеватости используют био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мелиорацию (посев соле- и солонцеустойчивых культур), при экономической целесообразности проводят агротехнические и гидротехнические мероприятия</w:t>
            </w:r>
          </w:p>
        </w:tc>
      </w:tr>
      <w:tr w:rsidR="0073613F" w:rsidRPr="0073613F" w:rsidTr="0073613F">
        <w:trPr>
          <w:trHeight w:val="709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spacing w:val="-5"/>
                <w:sz w:val="23"/>
                <w:szCs w:val="23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– Предуральская</w:t>
            </w:r>
          </w:p>
        </w:tc>
        <w:tc>
          <w:tcPr>
            <w:tcW w:w="2268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689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 – Западно-Сибирская</w:t>
            </w:r>
          </w:p>
        </w:tc>
        <w:tc>
          <w:tcPr>
            <w:tcW w:w="2268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699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right="-108" w:hanging="74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vertAlign w:val="subscript"/>
              </w:rPr>
              <w:t>4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– Сибирско-Предалтайская</w:t>
            </w:r>
          </w:p>
        </w:tc>
        <w:tc>
          <w:tcPr>
            <w:tcW w:w="2268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696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vertAlign w:val="subscript"/>
              </w:rPr>
              <w:t>5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pacing w:val="-5"/>
                <w:sz w:val="23"/>
                <w:szCs w:val="23"/>
              </w:rPr>
              <w:t>Среднесибирская</w:t>
            </w:r>
          </w:p>
        </w:tc>
        <w:tc>
          <w:tcPr>
            <w:tcW w:w="2268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3F" w:rsidRPr="0073613F" w:rsidTr="0073613F">
        <w:trPr>
          <w:trHeight w:val="277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 степная, интенсивного зернового 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земледелия и мясо-молочного живoт-нoвoдства с 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господством высокогумусных почв, недостаточ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ной влагообеспеченности (черноземы </w:t>
            </w:r>
            <w:r w:rsidRPr="0073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быкно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венные, южные, лугово-черно-земные), эродированных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дефлированных, с распространением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гидроморфных и полугидроморфных условно 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засоленных и засоленных солонцовых (содовых, нейтральных) почв и комплексов с солонцами.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1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Прибалтийская (восточная)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332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Среднерусская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477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Западно-Сибирская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513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4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Среднесибирская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563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5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Дальневосточно-Сахалинская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685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6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Дальневосточно-Амуро-Уссурийская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857"/>
        </w:trPr>
        <w:tc>
          <w:tcPr>
            <w:tcW w:w="2376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736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ПОЯС  ЗАСОЛЕННЫХ И ЗАСОЛЕННО-СОЛОНЦОВЫХ ПОЧВ (НЕЙТРАЛЬНЫХ) НИЗКОЙ ВЛАГООБЕСПЕЧЕННОСТИ, С ПРОЯВЛЕНИЕМ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73613F">
              <w:rPr>
                <w:rFonts w:ascii="Times New Roman" w:hAnsi="Times New Roman" w:cs="Times New Roman"/>
                <w:sz w:val="20"/>
                <w:szCs w:val="20"/>
              </w:rPr>
              <w:softHyphen/>
              <w:t>ФЛЯЦИИ</w:t>
            </w:r>
          </w:p>
        </w:tc>
        <w:tc>
          <w:tcPr>
            <w:tcW w:w="4253" w:type="dxa"/>
            <w:vMerge w:val="restart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2"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- сухостепная зона богарного и орошае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земледелия, интенсивного животноводства, с широким распространением незасоленных и по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тенциально засоленных (темно-каштановых и ка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штановых), а также засоленно-солонцовых почв (преимущественно нейтрально-засоленных) и их комплексов с солонцами.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884" w:hanging="88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VII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 xml:space="preserve">1 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– </w:t>
            </w:r>
            <w:r w:rsidRPr="0073613F">
              <w:rPr>
                <w:rFonts w:ascii="Times New Roman" w:hAnsi="Times New Roman" w:cs="Times New Roman"/>
                <w:bCs/>
                <w:sz w:val="23"/>
                <w:szCs w:val="23"/>
              </w:rPr>
              <w:t>Манычско-Донская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Пояс В характеризуется резким дефицитом влаги и широким 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развитием двух процессов, лимитирующих плодо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родие почв: засолением и солонцеватостью. Кроме того, широко развит и процесс дефляции.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2"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улучшения свойств почв в пределах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пояса В и повышения их плодородия может ре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шаться за счет подбора засухоустойчивых, соле- и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солонцеустойчивых культур, а также проведения комплекса агротехнических и гидротехнических мелиорации.</w:t>
            </w:r>
          </w:p>
        </w:tc>
      </w:tr>
      <w:tr w:rsidR="0073613F" w:rsidRPr="0073613F" w:rsidTr="0073613F">
        <w:trPr>
          <w:trHeight w:val="809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VII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 xml:space="preserve">2 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– </w:t>
            </w:r>
            <w:r w:rsidRPr="0073613F">
              <w:rPr>
                <w:rFonts w:ascii="Times New Roman" w:hAnsi="Times New Roman" w:cs="Times New Roman"/>
                <w:bCs/>
                <w:sz w:val="23"/>
                <w:szCs w:val="23"/>
              </w:rPr>
              <w:t>Заволжская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2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VII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 xml:space="preserve">3 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– </w:t>
            </w:r>
            <w:r w:rsidRPr="0073613F">
              <w:rPr>
                <w:rFonts w:ascii="Times New Roman" w:hAnsi="Times New Roman" w:cs="Times New Roman"/>
                <w:bCs/>
                <w:sz w:val="23"/>
                <w:szCs w:val="23"/>
              </w:rPr>
              <w:t>Казахстанская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2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 xml:space="preserve">ПОЯС  ЗАСОЛЕННЫХ И ЗАСОЛЕННО-СОЛОНЦОВЫХ ПОЧВ (НЕЙТРАЛЬНЫХ) НИЗКОЙ ВЛАГООБЕСПЕЧЕННОСТИ, С ПРОЯВЛЕНИЕМ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ДЕФЛЯЦИИ</w:t>
            </w: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6" w:right="11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lastRenderedPageBreak/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VIII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полупустынная, интенсивного 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жи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вотноводства и выборочного земледелия, преимущественно орошаемого, с широким распространением засоленных и засоленно-солонцовых почв 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(светло-каштановых и бурых полупустынных) и их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комплексов с солонцами, солончаками, значительным распространением дефляции. В пределах зоны выделена одна провинция. </w:t>
            </w:r>
          </w:p>
        </w:tc>
        <w:tc>
          <w:tcPr>
            <w:tcW w:w="3118" w:type="dxa"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VIII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полупустынная, интенсивного жи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вотноводства и выборочного орошаемого земледелия, с широким распространением засоленных и засоленно-солонцовых почв 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(светло-каштановых и бурых полупустынных) и их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комплексов с солонцами, солончаками, значительным распространением дефляции.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en-US"/>
              </w:rPr>
              <w:t>VIII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>1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Прикаспийская</w:t>
            </w:r>
          </w:p>
        </w:tc>
        <w:tc>
          <w:tcPr>
            <w:tcW w:w="2268" w:type="dxa"/>
            <w:vMerge w:val="restart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Выделены по ведущему деградационному процессу: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1 – переувлаж</w:t>
            </w: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нённые;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2 – кислые не переувлажненные;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3 – кислые пе</w:t>
            </w: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4 – эродированные;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3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5 – дефлирова</w:t>
            </w: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6 – сочетание дефлированных и эродирова</w:t>
            </w: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нных;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 – засоленные;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 – засоленно-солонцовые;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9 – 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пойменные.</w:t>
            </w: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- пустынная, интенсивного животноводства и орошаемого земледелия, с распространением засоленных и дефлированных почв (бурых полупустынных, солончаков, солончаковых солонцов, песков). Характерна дефляция; влагообеспеченность почв крайне низкая.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IX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1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z w:val="23"/>
                <w:szCs w:val="23"/>
              </w:rPr>
              <w:t>Арало-Каспийская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ГОРНЫЕ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ПОЯС ОЧАГОВОГО ЗЕМЛЕДЕЛИЯ</w:t>
            </w: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Климат, почвенный покров и факторы, лимитирующие плодородие горных почв, на карте М 1 : 4000000 не дифференцированы из-за малых площадей сельскохозяйственных угодий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</w:t>
            </w:r>
          </w:p>
        </w:tc>
        <w:tc>
          <w:tcPr>
            <w:tcW w:w="226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</w:t>
            </w:r>
          </w:p>
        </w:tc>
        <w:tc>
          <w:tcPr>
            <w:tcW w:w="3119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</w:t>
            </w:r>
          </w:p>
        </w:tc>
      </w:tr>
    </w:tbl>
    <w:p w:rsidR="0073613F" w:rsidRPr="0073613F" w:rsidRDefault="0073613F" w:rsidP="0073613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3613F" w:rsidRPr="0073613F" w:rsidRDefault="0073613F" w:rsidP="0073613F">
      <w:pPr>
        <w:shd w:val="clear" w:color="auto" w:fill="FFFFFF"/>
        <w:spacing w:after="0" w:line="360" w:lineRule="auto"/>
        <w:ind w:right="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73613F" w:rsidRPr="0073613F" w:rsidSect="007361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3613F" w:rsidRPr="0073613F" w:rsidRDefault="0073613F" w:rsidP="0073613F">
      <w:pPr>
        <w:shd w:val="clear" w:color="auto" w:fill="FFFFFF"/>
        <w:spacing w:after="0"/>
        <w:ind w:right="3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Карта почвенно-агроэкологического районирования – это основа для разработки комплексных мероприятий по рациональному использованию и улучшению сельскохозяйственных</w:t>
      </w:r>
      <w:r w:rsidRPr="0073613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земель. Анализ материалов, приведенных на карте, позволяет констатировать, что: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категории кислых (не переувлажненных и переувлажненных) почв достигают 100 млн. га; 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категории переувлажненных почв</w:t>
      </w:r>
      <w:r w:rsidRPr="0073613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(кислых, нейтральных, без учета пойменных) составляет 19,1 млн. га, или 8,6 % от плошади с.-х. земель; 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категория эродированных и дефлированных почв по материалам составителей Почвенно-эрозионной карты (1990), базирующихся на данных Росземпроекта, составляет 63 млн. га (28,7 % с.-х. угодий). Сильная пораженность сельскохозяйственных земель эрози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ей и дефляцией отмечается на Северном Кавказе (более 50 %), в Поволжье (37,5%), на Урале (29 %);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категории засоленных и засоленно-солонцовых почв занимают 39,2 млн. га (18 % с.-х. угодий), при этом собственно засо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ленные почвы составляют 7 %, а засоленно-солонцовые – 11 %; 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категория пойменных почв составляет 6,6 млн. га (3% с.-х. угодий).</w:t>
      </w:r>
    </w:p>
    <w:p w:rsidR="0073613F" w:rsidRPr="0073613F" w:rsidRDefault="0073613F" w:rsidP="0073613F">
      <w:pPr>
        <w:shd w:val="clear" w:color="auto" w:fill="FFFFFF"/>
        <w:spacing w:after="0"/>
        <w:ind w:left="17" w:right="7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 почвенно-агроэкологического районирования позволяет обосновать стратегию комплексных мероприятий по рациональному использованию и улучшению сельскохозяйственных</w:t>
      </w:r>
      <w:r w:rsidRPr="0073613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земель, направленных на замедление, ликвидацию деградационных процессов. Она позволяет выявить районы, для</w:t>
      </w:r>
      <w:r w:rsidRPr="0073613F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 основным мелиоративным мероприятием может стать комплекс биомелиораций. Это, прежде всего, территории, подверженные эрозии и дефляции, а также территории, в пределах которых отмечается слабое проявление засоления, солонцеватости, переувлажнения. Районы, где свойства и процессы, лимитирующие плодородие почв, проявляются в сильной степени, нуждаются, как правило, в дорогостоящих комплексных мелиоративных мероприятиях. Затраты на освоение и мелиорацию этих земель требуют предварительного агроэкологического обоснования.</w:t>
      </w:r>
    </w:p>
    <w:p w:rsidR="0073613F" w:rsidRPr="0073613F" w:rsidRDefault="0073613F" w:rsidP="0073613F">
      <w:pPr>
        <w:shd w:val="clear" w:color="auto" w:fill="FFFFFF"/>
        <w:spacing w:after="0"/>
        <w:ind w:left="17" w:right="72" w:hanging="1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Задание для самостоятельной работы № 6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73613F" w:rsidRPr="0073613F" w:rsidRDefault="0073613F" w:rsidP="0073613F">
      <w:pPr>
        <w:shd w:val="clear" w:color="auto" w:fill="FFFFFF"/>
        <w:spacing w:after="0"/>
        <w:ind w:left="17" w:right="72" w:hanging="1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 предлагаемой схеме почвенно-агроэкологического районирования РФ с помощью цветового обозначения выделить  почвенно-агроэкологические пояса. </w:t>
      </w:r>
    </w:p>
    <w:p w:rsidR="0073613F" w:rsidRPr="0073613F" w:rsidRDefault="0073613F" w:rsidP="0073613F">
      <w:pPr>
        <w:shd w:val="clear" w:color="auto" w:fill="FFFFFF"/>
        <w:spacing w:after="0"/>
        <w:ind w:left="17" w:right="72" w:hanging="1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2.Провести анализ схемы агроэкологического районирования России с указанием основных направлений почвенно - мелиоративных мероприятий .</w:t>
      </w:r>
    </w:p>
    <w:p w:rsidR="0073613F" w:rsidRPr="0073613F" w:rsidRDefault="0073613F" w:rsidP="0073613F">
      <w:pPr>
        <w:tabs>
          <w:tab w:val="left" w:pos="-2268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eastAsiaTheme="minorEastAsi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3590" cy="8054340"/>
            <wp:effectExtent l="19050" t="0" r="381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3F" w:rsidRPr="0073613F" w:rsidRDefault="0073613F" w:rsidP="0073613F">
      <w:pPr>
        <w:shd w:val="clear" w:color="auto" w:fill="FFFFFF"/>
        <w:spacing w:after="0"/>
        <w:ind w:left="2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Схема почвенно-агроэкологического районирования сельскохозяйственных земель России.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val="en-US" w:eastAsia="ru-RU"/>
        </w:rPr>
        <w:lastRenderedPageBreak/>
        <w:t>I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ab/>
        <w:t xml:space="preserve">границы почвенно-агроэкологических выделов: </w:t>
      </w:r>
      <w:r w:rsidRPr="0073613F">
        <w:rPr>
          <w:rFonts w:ascii="Times New Roman" w:eastAsiaTheme="minorEastAsia" w:hAnsi="Times New Roman" w:cs="Times New Roman"/>
          <w:i/>
          <w:spacing w:val="-3"/>
          <w:sz w:val="28"/>
          <w:szCs w:val="28"/>
          <w:lang w:eastAsia="ru-RU"/>
        </w:rPr>
        <w:t>1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- поясов, </w:t>
      </w:r>
      <w:r w:rsidRPr="0073613F">
        <w:rPr>
          <w:rFonts w:ascii="Times New Roman" w:eastAsiaTheme="minorEastAsia" w:hAnsi="Times New Roman" w:cs="Times New Roman"/>
          <w:i/>
          <w:spacing w:val="-3"/>
          <w:sz w:val="28"/>
          <w:szCs w:val="28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- зон, </w:t>
      </w:r>
      <w:r w:rsidRPr="0073613F">
        <w:rPr>
          <w:rFonts w:ascii="Times New Roman" w:eastAsiaTheme="minorEastAsia" w:hAnsi="Times New Roman" w:cs="Times New Roman"/>
          <w:i/>
          <w:spacing w:val="-3"/>
          <w:sz w:val="28"/>
          <w:szCs w:val="28"/>
          <w:lang w:eastAsia="ru-RU"/>
        </w:rPr>
        <w:t>3</w:t>
      </w:r>
      <w:r w:rsidRPr="0073613F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- провинций, </w:t>
      </w:r>
      <w:r w:rsidRPr="0073613F">
        <w:rPr>
          <w:rFonts w:ascii="Times New Roman" w:eastAsiaTheme="minorEastAsia" w:hAnsi="Times New Roman" w:cs="Times New Roman"/>
          <w:i/>
          <w:spacing w:val="-3"/>
          <w:sz w:val="28"/>
          <w:szCs w:val="28"/>
          <w:lang w:eastAsia="ru-RU"/>
        </w:rPr>
        <w:t>4</w:t>
      </w:r>
      <w:r w:rsidRPr="0073613F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- 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горные территории;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П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– категории земель по свойствам и процессам,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лимитирующим плодородие почв: </w:t>
      </w:r>
      <w:r w:rsidRPr="0073613F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5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 кислые; </w:t>
      </w:r>
      <w:r w:rsidRPr="0073613F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6</w:t>
      </w:r>
      <w:r w:rsidRPr="0073613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– переувлажненные; </w:t>
      </w:r>
      <w:r w:rsidRPr="0073613F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7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 эродированные; </w:t>
      </w:r>
      <w:r w:rsidRPr="0073613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8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- дефлированные; </w:t>
      </w:r>
      <w:r w:rsidRPr="0073613F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9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 засоленные (несолонцовые); </w:t>
      </w:r>
      <w:r w:rsidRPr="0073613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10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– засоленно-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солонцовые; </w:t>
      </w:r>
      <w:r w:rsidRPr="0073613F">
        <w:rPr>
          <w:rFonts w:ascii="Times New Roman" w:eastAsiaTheme="minorEastAsia" w:hAnsi="Times New Roman" w:cs="Times New Roman"/>
          <w:i/>
          <w:iCs/>
          <w:spacing w:val="-5"/>
          <w:sz w:val="28"/>
          <w:szCs w:val="28"/>
          <w:lang w:eastAsia="ru-RU"/>
        </w:rPr>
        <w:t xml:space="preserve">11 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– пойменные;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Ш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 xml:space="preserve">административное деление России: </w:t>
      </w:r>
      <w:r w:rsidRPr="0073613F">
        <w:rPr>
          <w:rFonts w:ascii="Times New Roman" w:eastAsiaTheme="minorEastAsia" w:hAnsi="Times New Roman" w:cs="Times New Roman"/>
          <w:i/>
          <w:iCs/>
          <w:spacing w:val="-5"/>
          <w:sz w:val="28"/>
          <w:szCs w:val="28"/>
          <w:lang w:eastAsia="ru-RU"/>
        </w:rPr>
        <w:t xml:space="preserve">12 - 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граница административных областей, краев, республик; </w:t>
      </w: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цифры на схеме соответству</w:t>
      </w:r>
      <w:r w:rsidRPr="0073613F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t>ют цифрам, приведенным в скобках ниже.</w:t>
      </w: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Перечень административных областей (краев, республик) дан с учетом процентного участия сельскохозяйственных зе</w:t>
      </w: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мель от общей площади области (края, республики).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Сельскохозяйственные земли составляют: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b/>
          <w:bCs/>
          <w:spacing w:val="-7"/>
          <w:sz w:val="28"/>
          <w:szCs w:val="28"/>
          <w:lang w:eastAsia="ru-RU"/>
        </w:rPr>
        <w:t>&lt;3%</w:t>
      </w: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ab/>
        <w:t xml:space="preserve">Архангельская (1), Мурманская (3), Республика Карелия (4), </w:t>
      </w:r>
      <w:r w:rsidRPr="0073613F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Республика Коми (5), Тюменская (59), Хабаровский край (66), Камчатская (68), Магаданская (69), Сахалинская (70), Республика Саха (71);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3-10 %</w:t>
      </w:r>
      <w:r w:rsidRPr="0073613F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i/>
          <w:iCs/>
          <w:spacing w:val="-8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Вологодская (2), 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Ленинградская (6), Томская (58), Иркутская (61), Республика Бурятия (63), Приморский край (65), Амурская (67);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10-20 %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 xml:space="preserve">Новгородская (7), Костромская (15), Пермская (49), Свердловская (50), Читинская (62), Республика Тува (64);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20-30 %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 xml:space="preserve"> Псковская (8), Тверская (13), Кировская (23), Кемеровская (55);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30-50 %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>Вла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softHyphen/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димирская (11),  Ивановская (12), Калужская (14), Московская (16), Смоленская (19), Ярославская (21), Нижегородская (22), Республика Мари-Эл (24), Удмурт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softHyphen/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ская республика (53), Амурская (54), Новосибирская (56), Омская (57);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50-80 %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 xml:space="preserve">Калининградская (9), Брянская (10), Рязанская (18), Тульская (20), Республика 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Мордовия (25), Республика Чувашия (26), Белгородская (27), Воронежская (28), Астраханская (32), Волгоградская (33), Самарская (34), Пензенская (35), Улья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softHyphen/>
      </w: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новская (37), Республика Калмыкия (38), Республика Татарстан (39), Краснодарский край (40), Ставропольский край (41), Республика Дагестан (43), Кабардино-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Балкарская (44), Северо-Осетинская (45), Чеченская и Ингушская (46) республики, Курганская (47), Челябинская (51), Республика Башкортостан (52);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&gt;80 %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–  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Орловская (17), Курская (29), Липецкая (30), Тамбовская (31), Саратовская (36), Ростовская (42), Оренбургская (48).</w:t>
      </w:r>
      <w:r w:rsidRPr="0073613F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73613F" w:rsidRPr="0073613F" w:rsidRDefault="0073613F" w:rsidP="0073613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B52C93" w:rsidRDefault="00B52C93"/>
    <w:sectPr w:rsidR="00B52C93" w:rsidSect="0024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6B" w:rsidRDefault="00595C6B" w:rsidP="004A3540">
      <w:pPr>
        <w:spacing w:after="0" w:line="240" w:lineRule="auto"/>
      </w:pPr>
      <w:r>
        <w:separator/>
      </w:r>
    </w:p>
  </w:endnote>
  <w:endnote w:type="continuationSeparator" w:id="0">
    <w:p w:rsidR="00595C6B" w:rsidRDefault="00595C6B" w:rsidP="004A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141"/>
      <w:docPartObj>
        <w:docPartGallery w:val="Page Numbers (Bottom of Page)"/>
        <w:docPartUnique/>
      </w:docPartObj>
    </w:sdtPr>
    <w:sdtContent>
      <w:p w:rsidR="004A3540" w:rsidRDefault="00D93A56">
        <w:pPr>
          <w:pStyle w:val="aa"/>
          <w:jc w:val="center"/>
        </w:pPr>
        <w:fldSimple w:instr=" PAGE   \* MERGEFORMAT ">
          <w:r w:rsidR="00405227">
            <w:rPr>
              <w:noProof/>
            </w:rPr>
            <w:t>26</w:t>
          </w:r>
        </w:fldSimple>
      </w:p>
    </w:sdtContent>
  </w:sdt>
  <w:p w:rsidR="0073613F" w:rsidRDefault="007361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6B" w:rsidRDefault="00595C6B" w:rsidP="004A3540">
      <w:pPr>
        <w:spacing w:after="0" w:line="240" w:lineRule="auto"/>
      </w:pPr>
      <w:r>
        <w:separator/>
      </w:r>
    </w:p>
  </w:footnote>
  <w:footnote w:type="continuationSeparator" w:id="0">
    <w:p w:rsidR="00595C6B" w:rsidRDefault="00595C6B" w:rsidP="004A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8A6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B6DAA"/>
    <w:multiLevelType w:val="hybridMultilevel"/>
    <w:tmpl w:val="094A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C53"/>
    <w:multiLevelType w:val="hybridMultilevel"/>
    <w:tmpl w:val="6CFEBA40"/>
    <w:lvl w:ilvl="0" w:tplc="31DC1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4D00FA"/>
    <w:multiLevelType w:val="hybridMultilevel"/>
    <w:tmpl w:val="5CF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576"/>
    <w:multiLevelType w:val="hybridMultilevel"/>
    <w:tmpl w:val="1A8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E7204"/>
    <w:multiLevelType w:val="hybridMultilevel"/>
    <w:tmpl w:val="0C3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48BF"/>
    <w:multiLevelType w:val="hybridMultilevel"/>
    <w:tmpl w:val="C57C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06D91"/>
    <w:multiLevelType w:val="hybridMultilevel"/>
    <w:tmpl w:val="118C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E2A11"/>
    <w:multiLevelType w:val="hybridMultilevel"/>
    <w:tmpl w:val="85B04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B5554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FD667C"/>
    <w:multiLevelType w:val="hybridMultilevel"/>
    <w:tmpl w:val="85E8BADA"/>
    <w:lvl w:ilvl="0" w:tplc="BF64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77EB2"/>
    <w:multiLevelType w:val="hybridMultilevel"/>
    <w:tmpl w:val="5B8466FC"/>
    <w:lvl w:ilvl="0" w:tplc="4A645A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BF35379"/>
    <w:multiLevelType w:val="hybridMultilevel"/>
    <w:tmpl w:val="4644F95E"/>
    <w:lvl w:ilvl="0" w:tplc="42948CF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3323ADD"/>
    <w:multiLevelType w:val="hybridMultilevel"/>
    <w:tmpl w:val="7AB870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917CE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C176D"/>
    <w:multiLevelType w:val="multilevel"/>
    <w:tmpl w:val="0419001D"/>
    <w:styleLink w:val="1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372779"/>
    <w:multiLevelType w:val="hybridMultilevel"/>
    <w:tmpl w:val="5CF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C93"/>
    <w:rsid w:val="000C7ABE"/>
    <w:rsid w:val="002405EA"/>
    <w:rsid w:val="00355E8C"/>
    <w:rsid w:val="00405227"/>
    <w:rsid w:val="004813B5"/>
    <w:rsid w:val="004A3540"/>
    <w:rsid w:val="00595C6B"/>
    <w:rsid w:val="00665986"/>
    <w:rsid w:val="0073613F"/>
    <w:rsid w:val="008436F1"/>
    <w:rsid w:val="00972E6E"/>
    <w:rsid w:val="00A37301"/>
    <w:rsid w:val="00B52C93"/>
    <w:rsid w:val="00B9302A"/>
    <w:rsid w:val="00CC6A69"/>
    <w:rsid w:val="00D93A56"/>
    <w:rsid w:val="00DB204F"/>
    <w:rsid w:val="00DE3F86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05EA"/>
  </w:style>
  <w:style w:type="paragraph" w:styleId="10">
    <w:name w:val="heading 1"/>
    <w:basedOn w:val="a0"/>
    <w:next w:val="a0"/>
    <w:link w:val="11"/>
    <w:qFormat/>
    <w:rsid w:val="007361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736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73613F"/>
    <w:pPr>
      <w:keepNext/>
      <w:shd w:val="clear" w:color="auto" w:fill="FFFFFF"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3613F"/>
    <w:pPr>
      <w:keepNext/>
      <w:shd w:val="clear" w:color="auto" w:fill="FFFFFF"/>
      <w:spacing w:after="0" w:line="360" w:lineRule="auto"/>
      <w:ind w:firstLine="720"/>
      <w:jc w:val="right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3613F"/>
    <w:pPr>
      <w:keepNext/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613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613F"/>
    <w:pPr>
      <w:keepNext/>
      <w:spacing w:after="0" w:line="360" w:lineRule="auto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3613F"/>
    <w:pPr>
      <w:keepNext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613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7361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3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73613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73613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3613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3613F"/>
  </w:style>
  <w:style w:type="paragraph" w:styleId="a4">
    <w:name w:val="Title"/>
    <w:basedOn w:val="a0"/>
    <w:link w:val="a5"/>
    <w:qFormat/>
    <w:rsid w:val="0073613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736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73613F"/>
    <w:pPr>
      <w:numPr>
        <w:numId w:val="1"/>
      </w:numPr>
    </w:pPr>
  </w:style>
  <w:style w:type="paragraph" w:customStyle="1" w:styleId="a">
    <w:name w:val="список с точками"/>
    <w:basedOn w:val="a0"/>
    <w:rsid w:val="0073613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361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73613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73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unhideWhenUsed/>
    <w:rsid w:val="0073613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73613F"/>
    <w:rPr>
      <w:rFonts w:eastAsiaTheme="minorEastAsia"/>
      <w:lang w:eastAsia="ru-RU"/>
    </w:rPr>
  </w:style>
  <w:style w:type="table" w:customStyle="1" w:styleId="13">
    <w:name w:val="Сетка таблицы1"/>
    <w:basedOn w:val="a2"/>
    <w:next w:val="a9"/>
    <w:uiPriority w:val="59"/>
    <w:rsid w:val="007361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semiHidden/>
    <w:unhideWhenUsed/>
    <w:rsid w:val="00736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73613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3613F"/>
  </w:style>
  <w:style w:type="character" w:customStyle="1" w:styleId="FontStyle76">
    <w:name w:val="Font Style76"/>
    <w:basedOn w:val="a1"/>
    <w:uiPriority w:val="99"/>
    <w:rsid w:val="0073613F"/>
    <w:rPr>
      <w:rFonts w:ascii="Courier New" w:hAnsi="Courier New" w:cs="Courier New"/>
      <w:spacing w:val="-20"/>
      <w:sz w:val="18"/>
      <w:szCs w:val="18"/>
    </w:rPr>
  </w:style>
  <w:style w:type="paragraph" w:customStyle="1" w:styleId="Style1">
    <w:name w:val="Style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73613F"/>
    <w:rPr>
      <w:rFonts w:ascii="Courier New" w:hAnsi="Courier New" w:cs="Courier New"/>
      <w:b/>
      <w:bCs/>
      <w:spacing w:val="-20"/>
      <w:sz w:val="18"/>
      <w:szCs w:val="18"/>
    </w:rPr>
  </w:style>
  <w:style w:type="paragraph" w:customStyle="1" w:styleId="Style5">
    <w:name w:val="Style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8">
    <w:name w:val="Font Style78"/>
    <w:basedOn w:val="a1"/>
    <w:uiPriority w:val="99"/>
    <w:rsid w:val="0073613F"/>
    <w:rPr>
      <w:rFonts w:ascii="Courier New" w:hAnsi="Courier New" w:cs="Courier New"/>
      <w:spacing w:val="-10"/>
      <w:sz w:val="18"/>
      <w:szCs w:val="18"/>
    </w:rPr>
  </w:style>
  <w:style w:type="paragraph" w:customStyle="1" w:styleId="Style6">
    <w:name w:val="Style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9">
    <w:name w:val="Font Style79"/>
    <w:basedOn w:val="a1"/>
    <w:uiPriority w:val="99"/>
    <w:rsid w:val="0073613F"/>
    <w:rPr>
      <w:rFonts w:ascii="Book Antiqua" w:hAnsi="Book Antiqua" w:cs="Book Antiqua"/>
      <w:smallCaps/>
      <w:sz w:val="16"/>
      <w:szCs w:val="16"/>
    </w:rPr>
  </w:style>
  <w:style w:type="paragraph" w:customStyle="1" w:styleId="Style3">
    <w:name w:val="Style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1">
    <w:name w:val="Font Style101"/>
    <w:basedOn w:val="a1"/>
    <w:uiPriority w:val="99"/>
    <w:rsid w:val="0073613F"/>
    <w:rPr>
      <w:rFonts w:ascii="Book Antiqua" w:hAnsi="Book Antiqua" w:cs="Book Antiqua"/>
      <w:b/>
      <w:bCs/>
      <w:spacing w:val="-20"/>
      <w:sz w:val="22"/>
      <w:szCs w:val="22"/>
    </w:rPr>
  </w:style>
  <w:style w:type="character" w:customStyle="1" w:styleId="FontStyle104">
    <w:name w:val="Font Style104"/>
    <w:basedOn w:val="a1"/>
    <w:uiPriority w:val="99"/>
    <w:rsid w:val="0073613F"/>
    <w:rPr>
      <w:rFonts w:ascii="Candara" w:hAnsi="Candara" w:cs="Candara"/>
      <w:sz w:val="16"/>
      <w:szCs w:val="16"/>
    </w:rPr>
  </w:style>
  <w:style w:type="paragraph" w:customStyle="1" w:styleId="Style20">
    <w:name w:val="Style2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73613F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89">
    <w:name w:val="Font Style89"/>
    <w:basedOn w:val="a1"/>
    <w:uiPriority w:val="99"/>
    <w:rsid w:val="0073613F"/>
    <w:rPr>
      <w:rFonts w:ascii="Candara" w:hAnsi="Candara" w:cs="Candara"/>
      <w:spacing w:val="10"/>
      <w:sz w:val="18"/>
      <w:szCs w:val="18"/>
    </w:rPr>
  </w:style>
  <w:style w:type="paragraph" w:customStyle="1" w:styleId="Style27">
    <w:name w:val="Style2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2">
    <w:name w:val="Font Style82"/>
    <w:basedOn w:val="a1"/>
    <w:uiPriority w:val="99"/>
    <w:rsid w:val="0073613F"/>
    <w:rPr>
      <w:rFonts w:ascii="Courier New" w:hAnsi="Courier New" w:cs="Courier Ne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13F"/>
    <w:rPr>
      <w:rFonts w:ascii="Courier New" w:hAnsi="Courier New" w:cs="Courier New"/>
      <w:spacing w:val="-10"/>
      <w:sz w:val="18"/>
      <w:szCs w:val="18"/>
    </w:rPr>
  </w:style>
  <w:style w:type="paragraph" w:customStyle="1" w:styleId="Style31">
    <w:name w:val="Style3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3">
    <w:name w:val="Font Style103"/>
    <w:basedOn w:val="a1"/>
    <w:uiPriority w:val="99"/>
    <w:rsid w:val="0073613F"/>
    <w:rPr>
      <w:rFonts w:ascii="Courier New" w:hAnsi="Courier New" w:cs="Courier New"/>
      <w:i/>
      <w:iCs/>
      <w:spacing w:val="60"/>
      <w:sz w:val="18"/>
      <w:szCs w:val="18"/>
    </w:rPr>
  </w:style>
  <w:style w:type="paragraph" w:customStyle="1" w:styleId="Style32">
    <w:name w:val="Style3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3">
    <w:name w:val="Font Style83"/>
    <w:basedOn w:val="a1"/>
    <w:uiPriority w:val="99"/>
    <w:rsid w:val="0073613F"/>
    <w:rPr>
      <w:rFonts w:ascii="Palatino Linotype" w:hAnsi="Palatino Linotype" w:cs="Palatino Linotype"/>
      <w:spacing w:val="20"/>
      <w:sz w:val="20"/>
      <w:szCs w:val="20"/>
    </w:rPr>
  </w:style>
  <w:style w:type="character" w:customStyle="1" w:styleId="FontStyle93">
    <w:name w:val="Font Style93"/>
    <w:basedOn w:val="a1"/>
    <w:uiPriority w:val="99"/>
    <w:rsid w:val="0073613F"/>
    <w:rPr>
      <w:rFonts w:ascii="Book Antiqua" w:hAnsi="Book Antiqua" w:cs="Book Antiqua"/>
      <w:b/>
      <w:bCs/>
      <w:i/>
      <w:iCs/>
      <w:spacing w:val="80"/>
      <w:sz w:val="16"/>
      <w:szCs w:val="16"/>
    </w:rPr>
  </w:style>
  <w:style w:type="character" w:customStyle="1" w:styleId="FontStyle84">
    <w:name w:val="Font Style84"/>
    <w:basedOn w:val="a1"/>
    <w:uiPriority w:val="99"/>
    <w:rsid w:val="0073613F"/>
    <w:rPr>
      <w:rFonts w:ascii="Book Antiqua" w:hAnsi="Book Antiqua" w:cs="Book Antiqua"/>
      <w:i/>
      <w:iCs/>
      <w:spacing w:val="10"/>
      <w:sz w:val="16"/>
      <w:szCs w:val="16"/>
    </w:rPr>
  </w:style>
  <w:style w:type="character" w:customStyle="1" w:styleId="FontStyle85">
    <w:name w:val="Font Style85"/>
    <w:basedOn w:val="a1"/>
    <w:uiPriority w:val="99"/>
    <w:rsid w:val="0073613F"/>
    <w:rPr>
      <w:rFonts w:ascii="Courier New" w:hAnsi="Courier New" w:cs="Courier New"/>
      <w:b/>
      <w:bCs/>
      <w:i/>
      <w:iCs/>
      <w:sz w:val="20"/>
      <w:szCs w:val="20"/>
    </w:rPr>
  </w:style>
  <w:style w:type="paragraph" w:customStyle="1" w:styleId="Style35">
    <w:name w:val="Style3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6">
    <w:name w:val="Font Style86"/>
    <w:basedOn w:val="a1"/>
    <w:uiPriority w:val="99"/>
    <w:rsid w:val="0073613F"/>
    <w:rPr>
      <w:rFonts w:ascii="Palatino Linotype" w:hAnsi="Palatino Linotype" w:cs="Palatino Linotype"/>
      <w:b/>
      <w:bCs/>
      <w:sz w:val="28"/>
      <w:szCs w:val="28"/>
    </w:rPr>
  </w:style>
  <w:style w:type="paragraph" w:customStyle="1" w:styleId="Style46">
    <w:name w:val="Style4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7">
    <w:name w:val="Font Style87"/>
    <w:basedOn w:val="a1"/>
    <w:uiPriority w:val="99"/>
    <w:rsid w:val="0073613F"/>
    <w:rPr>
      <w:rFonts w:ascii="Courier New" w:hAnsi="Courier New" w:cs="Courier New"/>
      <w:spacing w:val="-10"/>
      <w:sz w:val="18"/>
      <w:szCs w:val="18"/>
    </w:rPr>
  </w:style>
  <w:style w:type="paragraph" w:customStyle="1" w:styleId="Style48">
    <w:name w:val="Style4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2">
    <w:name w:val="Font Style112"/>
    <w:basedOn w:val="a1"/>
    <w:uiPriority w:val="99"/>
    <w:rsid w:val="0073613F"/>
    <w:rPr>
      <w:rFonts w:ascii="Courier New" w:hAnsi="Courier New" w:cs="Courier New"/>
      <w:b/>
      <w:bCs/>
      <w:sz w:val="14"/>
      <w:szCs w:val="14"/>
    </w:rPr>
  </w:style>
  <w:style w:type="character" w:customStyle="1" w:styleId="FontStyle108">
    <w:name w:val="Font Style108"/>
    <w:basedOn w:val="a1"/>
    <w:uiPriority w:val="99"/>
    <w:rsid w:val="0073613F"/>
    <w:rPr>
      <w:rFonts w:ascii="Courier New" w:hAnsi="Courier New" w:cs="Courier New"/>
      <w:spacing w:val="-20"/>
      <w:sz w:val="20"/>
      <w:szCs w:val="20"/>
    </w:rPr>
  </w:style>
  <w:style w:type="paragraph" w:customStyle="1" w:styleId="Style57">
    <w:name w:val="Style5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3">
    <w:name w:val="Font Style113"/>
    <w:basedOn w:val="a1"/>
    <w:uiPriority w:val="99"/>
    <w:rsid w:val="0073613F"/>
    <w:rPr>
      <w:rFonts w:ascii="Courier New" w:hAnsi="Courier New" w:cs="Courier New"/>
      <w:sz w:val="20"/>
      <w:szCs w:val="20"/>
    </w:rPr>
  </w:style>
  <w:style w:type="paragraph" w:customStyle="1" w:styleId="Style59">
    <w:name w:val="Style5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8">
    <w:name w:val="Font Style88"/>
    <w:basedOn w:val="a1"/>
    <w:uiPriority w:val="99"/>
    <w:rsid w:val="0073613F"/>
    <w:rPr>
      <w:rFonts w:ascii="Cambria" w:hAnsi="Cambria" w:cs="Cambria"/>
      <w:sz w:val="22"/>
      <w:szCs w:val="22"/>
    </w:rPr>
  </w:style>
  <w:style w:type="paragraph" w:customStyle="1" w:styleId="Style45">
    <w:name w:val="Style4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0">
    <w:name w:val="Font Style90"/>
    <w:basedOn w:val="a1"/>
    <w:uiPriority w:val="99"/>
    <w:rsid w:val="0073613F"/>
    <w:rPr>
      <w:rFonts w:ascii="Arial" w:hAnsi="Arial" w:cs="Arial"/>
      <w:b/>
      <w:bCs/>
      <w:i/>
      <w:iCs/>
      <w:spacing w:val="-20"/>
      <w:sz w:val="16"/>
      <w:szCs w:val="16"/>
    </w:rPr>
  </w:style>
  <w:style w:type="paragraph" w:customStyle="1" w:styleId="Style36">
    <w:name w:val="Style3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1">
    <w:name w:val="Font Style91"/>
    <w:basedOn w:val="a1"/>
    <w:uiPriority w:val="99"/>
    <w:rsid w:val="0073613F"/>
    <w:rPr>
      <w:rFonts w:ascii="Courier New" w:hAnsi="Courier New" w:cs="Courier New"/>
      <w:i/>
      <w:iCs/>
      <w:sz w:val="20"/>
      <w:szCs w:val="20"/>
    </w:rPr>
  </w:style>
  <w:style w:type="paragraph" w:customStyle="1" w:styleId="Style24">
    <w:name w:val="Style2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2">
    <w:name w:val="Font Style92"/>
    <w:basedOn w:val="a1"/>
    <w:uiPriority w:val="99"/>
    <w:rsid w:val="0073613F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11">
    <w:name w:val="Font Style111"/>
    <w:basedOn w:val="a1"/>
    <w:uiPriority w:val="99"/>
    <w:rsid w:val="0073613F"/>
    <w:rPr>
      <w:rFonts w:ascii="Courier New" w:hAnsi="Courier New" w:cs="Courier New"/>
      <w:b/>
      <w:bCs/>
      <w:sz w:val="16"/>
      <w:szCs w:val="16"/>
    </w:rPr>
  </w:style>
  <w:style w:type="paragraph" w:customStyle="1" w:styleId="Style21">
    <w:name w:val="Style2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4">
    <w:name w:val="Font Style94"/>
    <w:basedOn w:val="a1"/>
    <w:uiPriority w:val="99"/>
    <w:rsid w:val="0073613F"/>
    <w:rPr>
      <w:rFonts w:ascii="Courier New" w:hAnsi="Courier New" w:cs="Courier New"/>
      <w:i/>
      <w:iCs/>
      <w:sz w:val="18"/>
      <w:szCs w:val="18"/>
    </w:rPr>
  </w:style>
  <w:style w:type="character" w:customStyle="1" w:styleId="FontStyle95">
    <w:name w:val="Font Style95"/>
    <w:basedOn w:val="a1"/>
    <w:uiPriority w:val="99"/>
    <w:rsid w:val="0073613F"/>
    <w:rPr>
      <w:rFonts w:ascii="Candara" w:hAnsi="Candara" w:cs="Candara"/>
      <w:i/>
      <w:iCs/>
      <w:spacing w:val="30"/>
      <w:sz w:val="18"/>
      <w:szCs w:val="18"/>
    </w:rPr>
  </w:style>
  <w:style w:type="paragraph" w:customStyle="1" w:styleId="Style42">
    <w:name w:val="Style4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8">
    <w:name w:val="Font Style98"/>
    <w:basedOn w:val="a1"/>
    <w:uiPriority w:val="99"/>
    <w:rsid w:val="0073613F"/>
    <w:rPr>
      <w:rFonts w:ascii="Courier New" w:hAnsi="Courier New" w:cs="Courier New"/>
      <w:b/>
      <w:bCs/>
      <w:i/>
      <w:iCs/>
      <w:sz w:val="20"/>
      <w:szCs w:val="20"/>
    </w:rPr>
  </w:style>
  <w:style w:type="paragraph" w:customStyle="1" w:styleId="Style34">
    <w:name w:val="Style3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9">
    <w:name w:val="Font Style99"/>
    <w:basedOn w:val="a1"/>
    <w:uiPriority w:val="99"/>
    <w:rsid w:val="0073613F"/>
    <w:rPr>
      <w:rFonts w:ascii="Book Antiqua" w:hAnsi="Book Antiqua" w:cs="Book Antiqua"/>
      <w:b/>
      <w:bCs/>
      <w:smallCaps/>
      <w:sz w:val="16"/>
      <w:szCs w:val="16"/>
    </w:rPr>
  </w:style>
  <w:style w:type="paragraph" w:customStyle="1" w:styleId="Style33">
    <w:name w:val="Style3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7">
    <w:name w:val="Font Style97"/>
    <w:basedOn w:val="a1"/>
    <w:uiPriority w:val="99"/>
    <w:rsid w:val="0073613F"/>
    <w:rPr>
      <w:rFonts w:ascii="Courier New" w:hAnsi="Courier New" w:cs="Courier New"/>
      <w:b/>
      <w:bCs/>
      <w:sz w:val="20"/>
      <w:szCs w:val="20"/>
    </w:rPr>
  </w:style>
  <w:style w:type="paragraph" w:customStyle="1" w:styleId="Style50">
    <w:name w:val="Style5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6">
    <w:name w:val="Font Style96"/>
    <w:basedOn w:val="a1"/>
    <w:uiPriority w:val="99"/>
    <w:rsid w:val="0073613F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customStyle="1" w:styleId="Style26">
    <w:name w:val="Style2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1"/>
    <w:uiPriority w:val="99"/>
    <w:rsid w:val="0073613F"/>
    <w:rPr>
      <w:rFonts w:ascii="Courier New" w:hAnsi="Courier New" w:cs="Courier New"/>
      <w:b/>
      <w:bCs/>
      <w:i/>
      <w:iCs/>
      <w:spacing w:val="10"/>
      <w:sz w:val="18"/>
      <w:szCs w:val="18"/>
    </w:rPr>
  </w:style>
  <w:style w:type="paragraph" w:customStyle="1" w:styleId="Style43">
    <w:name w:val="Style4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73613F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Style39">
    <w:name w:val="Style3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5">
    <w:name w:val="Font Style105"/>
    <w:basedOn w:val="a1"/>
    <w:uiPriority w:val="99"/>
    <w:rsid w:val="0073613F"/>
    <w:rPr>
      <w:rFonts w:ascii="Courier New" w:hAnsi="Courier New" w:cs="Courier New"/>
      <w:b/>
      <w:bCs/>
      <w:spacing w:val="-20"/>
      <w:sz w:val="20"/>
      <w:szCs w:val="20"/>
    </w:rPr>
  </w:style>
  <w:style w:type="paragraph" w:customStyle="1" w:styleId="Style30">
    <w:name w:val="Style3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6">
    <w:name w:val="Font Style106"/>
    <w:basedOn w:val="a1"/>
    <w:uiPriority w:val="99"/>
    <w:rsid w:val="0073613F"/>
    <w:rPr>
      <w:rFonts w:ascii="Tahoma" w:hAnsi="Tahoma" w:cs="Tahoma"/>
      <w:i/>
      <w:iCs/>
      <w:spacing w:val="20"/>
      <w:sz w:val="14"/>
      <w:szCs w:val="14"/>
    </w:rPr>
  </w:style>
  <w:style w:type="character" w:customStyle="1" w:styleId="FontStyle107">
    <w:name w:val="Font Style107"/>
    <w:basedOn w:val="a1"/>
    <w:uiPriority w:val="99"/>
    <w:rsid w:val="0073613F"/>
    <w:rPr>
      <w:rFonts w:ascii="Courier New" w:hAnsi="Courier New" w:cs="Courier New"/>
      <w:b/>
      <w:bCs/>
      <w:spacing w:val="-10"/>
      <w:sz w:val="22"/>
      <w:szCs w:val="22"/>
    </w:rPr>
  </w:style>
  <w:style w:type="paragraph" w:customStyle="1" w:styleId="Style40">
    <w:name w:val="Style4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9">
    <w:name w:val="Font Style109"/>
    <w:basedOn w:val="a1"/>
    <w:uiPriority w:val="99"/>
    <w:rsid w:val="0073613F"/>
    <w:rPr>
      <w:rFonts w:ascii="Franklin Gothic Medium Cond" w:hAnsi="Franklin Gothic Medium Cond" w:cs="Franklin Gothic Medium Cond"/>
      <w:b/>
      <w:bCs/>
      <w:sz w:val="36"/>
      <w:szCs w:val="36"/>
    </w:rPr>
  </w:style>
  <w:style w:type="paragraph" w:customStyle="1" w:styleId="Style25">
    <w:name w:val="Style2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0">
    <w:name w:val="Font Style110"/>
    <w:basedOn w:val="a1"/>
    <w:uiPriority w:val="99"/>
    <w:rsid w:val="0073613F"/>
    <w:rPr>
      <w:rFonts w:ascii="Candara" w:hAnsi="Candara" w:cs="Candara"/>
      <w:sz w:val="28"/>
      <w:szCs w:val="28"/>
    </w:rPr>
  </w:style>
  <w:style w:type="paragraph" w:customStyle="1" w:styleId="Style51">
    <w:name w:val="Style5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268">
    <w:name w:val="Font Style268"/>
    <w:uiPriority w:val="99"/>
    <w:rsid w:val="0073613F"/>
    <w:rPr>
      <w:rFonts w:ascii="Times New Roman" w:hAnsi="Times New Roman" w:cs="Times New Roman"/>
      <w:sz w:val="18"/>
      <w:szCs w:val="18"/>
    </w:rPr>
  </w:style>
  <w:style w:type="character" w:customStyle="1" w:styleId="FontStyle274">
    <w:name w:val="Font Style274"/>
    <w:uiPriority w:val="99"/>
    <w:rsid w:val="007361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1">
    <w:name w:val="Font Style391"/>
    <w:basedOn w:val="a1"/>
    <w:uiPriority w:val="99"/>
    <w:rsid w:val="007361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3">
    <w:name w:val="Font Style393"/>
    <w:basedOn w:val="a1"/>
    <w:uiPriority w:val="99"/>
    <w:rsid w:val="0073613F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0"/>
    <w:link w:val="af"/>
    <w:rsid w:val="007361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736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73613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73613F"/>
    <w:rPr>
      <w:rFonts w:eastAsiaTheme="minorEastAsia"/>
      <w:lang w:eastAsia="ru-RU"/>
    </w:rPr>
  </w:style>
  <w:style w:type="character" w:customStyle="1" w:styleId="17">
    <w:name w:val="Знак Знак17"/>
    <w:basedOn w:val="a1"/>
    <w:rsid w:val="0073613F"/>
    <w:rPr>
      <w:rFonts w:ascii="Times New Roman" w:eastAsia="Times New Roman" w:hAnsi="Times New Roman" w:cs="Times New Roman"/>
      <w:sz w:val="36"/>
      <w:szCs w:val="20"/>
    </w:rPr>
  </w:style>
  <w:style w:type="character" w:customStyle="1" w:styleId="18">
    <w:name w:val="Знак Знак18"/>
    <w:basedOn w:val="a1"/>
    <w:rsid w:val="0073613F"/>
    <w:rPr>
      <w:rFonts w:ascii="Times New Roman" w:eastAsia="Times New Roman" w:hAnsi="Times New Roman" w:cs="Times New Roman"/>
      <w:sz w:val="28"/>
      <w:szCs w:val="24"/>
    </w:rPr>
  </w:style>
  <w:style w:type="character" w:customStyle="1" w:styleId="16">
    <w:name w:val="Знак Знак16"/>
    <w:basedOn w:val="a1"/>
    <w:rsid w:val="0073613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character" w:customStyle="1" w:styleId="15">
    <w:name w:val="Знак Знак15"/>
    <w:basedOn w:val="a1"/>
    <w:rsid w:val="0073613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14">
    <w:name w:val="Знак Знак14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Знак Знак13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120">
    <w:name w:val="Знак Знак12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111">
    <w:name w:val="Знак Знак11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100">
    <w:name w:val="Знак Знак10"/>
    <w:basedOn w:val="a1"/>
    <w:rsid w:val="0073613F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0"/>
    <w:link w:val="af1"/>
    <w:semiHidden/>
    <w:rsid w:val="007361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semiHidden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semiHidden/>
    <w:rsid w:val="0073613F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semiHidden/>
    <w:rsid w:val="0073613F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61">
    <w:name w:val="Знак Знак6"/>
    <w:basedOn w:val="a1"/>
    <w:rsid w:val="0073613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1"/>
    <w:semiHidden/>
    <w:rsid w:val="0073613F"/>
  </w:style>
  <w:style w:type="character" w:customStyle="1" w:styleId="51">
    <w:name w:val="Знак Знак5"/>
    <w:basedOn w:val="a1"/>
    <w:rsid w:val="0073613F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Знак Знак4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0"/>
    <w:link w:val="af4"/>
    <w:qFormat/>
    <w:rsid w:val="007361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нак Знак3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Знак Знак2"/>
    <w:basedOn w:val="a1"/>
    <w:rsid w:val="0073613F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7361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a">
    <w:name w:val="Знак Знак1"/>
    <w:basedOn w:val="a1"/>
    <w:rsid w:val="0073613F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0"/>
    <w:link w:val="35"/>
    <w:semiHidden/>
    <w:rsid w:val="0073613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Знак Знак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caption"/>
    <w:basedOn w:val="a0"/>
    <w:next w:val="a0"/>
    <w:qFormat/>
    <w:rsid w:val="0073613F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3613F"/>
    <w:pPr>
      <w:spacing w:before="100" w:after="0" w:line="300" w:lineRule="auto"/>
      <w:ind w:left="2080" w:right="220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FR1">
    <w:name w:val="FR1"/>
    <w:rsid w:val="0073613F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7">
    <w:name w:val="Block Text"/>
    <w:basedOn w:val="a0"/>
    <w:semiHidden/>
    <w:rsid w:val="0073613F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заголовок 1"/>
    <w:basedOn w:val="a0"/>
    <w:next w:val="a0"/>
    <w:rsid w:val="0073613F"/>
    <w:pPr>
      <w:keepNext/>
      <w:widowControl w:val="0"/>
      <w:autoSpaceDE w:val="0"/>
      <w:autoSpaceDN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заголовок 2"/>
    <w:basedOn w:val="a0"/>
    <w:next w:val="a0"/>
    <w:rsid w:val="0073613F"/>
    <w:pPr>
      <w:keepNext/>
      <w:widowControl w:val="0"/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6">
    <w:name w:val="заголовок 3"/>
    <w:basedOn w:val="a0"/>
    <w:next w:val="a0"/>
    <w:rsid w:val="0073613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шрифт"/>
    <w:rsid w:val="0073613F"/>
  </w:style>
  <w:style w:type="paragraph" w:customStyle="1" w:styleId="BodyText21">
    <w:name w:val="Body Text 21"/>
    <w:basedOn w:val="a0"/>
    <w:rsid w:val="00736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9">
    <w:name w:val="номер страницы"/>
    <w:basedOn w:val="af8"/>
    <w:rsid w:val="0073613F"/>
  </w:style>
  <w:style w:type="character" w:styleId="afa">
    <w:name w:val="Placeholder Text"/>
    <w:basedOn w:val="a1"/>
    <w:uiPriority w:val="99"/>
    <w:semiHidden/>
    <w:rsid w:val="0073613F"/>
    <w:rPr>
      <w:color w:val="808080"/>
    </w:rPr>
  </w:style>
  <w:style w:type="table" w:customStyle="1" w:styleId="112">
    <w:name w:val="Сетка таблицы11"/>
    <w:basedOn w:val="a2"/>
    <w:next w:val="a9"/>
    <w:uiPriority w:val="59"/>
    <w:rsid w:val="0073613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2015-06-18T11:32:00Z</dcterms:created>
  <dcterms:modified xsi:type="dcterms:W3CDTF">2015-08-17T09:31:00Z</dcterms:modified>
</cp:coreProperties>
</file>